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sz w:val="84"/>
          <w:szCs w:val="84"/>
        </w:rPr>
      </w:pPr>
      <w:r>
        <w:rPr>
          <w:rFonts w:hint="eastAsia"/>
          <w:sz w:val="84"/>
          <w:szCs w:val="84"/>
        </w:rPr>
        <w:t>202</w:t>
      </w:r>
      <w:r>
        <w:rPr>
          <w:rFonts w:hint="eastAsia"/>
          <w:sz w:val="84"/>
          <w:szCs w:val="84"/>
          <w:lang w:val="en-US" w:eastAsia="zh-CN"/>
        </w:rPr>
        <w:t>1</w:t>
      </w:r>
      <w:r>
        <w:rPr>
          <w:rFonts w:hint="eastAsia"/>
          <w:sz w:val="84"/>
          <w:szCs w:val="84"/>
        </w:rPr>
        <w:t>年度</w:t>
      </w:r>
    </w:p>
    <w:p>
      <w:pPr>
        <w:pStyle w:val="12"/>
        <w:ind w:left="2520" w:hanging="2520" w:hangingChars="300"/>
        <w:jc w:val="both"/>
        <w:rPr>
          <w:sz w:val="84"/>
          <w:szCs w:val="84"/>
        </w:rPr>
      </w:pPr>
      <w:r>
        <w:rPr>
          <w:rFonts w:hint="eastAsia"/>
          <w:sz w:val="84"/>
          <w:szCs w:val="84"/>
          <w:lang w:eastAsia="zh-CN"/>
        </w:rPr>
        <w:t>湖南省对外科技交流中心</w:t>
      </w:r>
      <w:r>
        <w:rPr>
          <w:rFonts w:hint="eastAsia"/>
          <w:sz w:val="84"/>
          <w:szCs w:val="84"/>
        </w:rPr>
        <w:t>部门决算</w:t>
      </w: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rFonts w:hint="eastAsia"/>
          <w:sz w:val="32"/>
          <w:szCs w:val="32"/>
        </w:rPr>
      </w:pPr>
    </w:p>
    <w:p>
      <w:pPr>
        <w:pStyle w:val="12"/>
        <w:jc w:val="center"/>
        <w:rPr>
          <w:rFonts w:hint="eastAsia"/>
          <w:sz w:val="32"/>
          <w:szCs w:val="32"/>
        </w:rPr>
      </w:pPr>
    </w:p>
    <w:p>
      <w:pPr>
        <w:pStyle w:val="12"/>
        <w:jc w:val="center"/>
        <w:rPr>
          <w:sz w:val="32"/>
          <w:szCs w:val="32"/>
        </w:rPr>
      </w:pPr>
    </w:p>
    <w:p>
      <w:pPr>
        <w:pStyle w:val="12"/>
        <w:jc w:val="center"/>
        <w:rPr>
          <w:sz w:val="32"/>
          <w:szCs w:val="32"/>
        </w:rPr>
      </w:pPr>
    </w:p>
    <w:p>
      <w:pPr>
        <w:pStyle w:val="12"/>
        <w:spacing w:line="500" w:lineRule="exact"/>
        <w:jc w:val="center"/>
        <w:rPr>
          <w:rFonts w:hint="eastAsia" w:ascii="黑体" w:hAnsi="黑体" w:eastAsia="黑体" w:cs="黑体"/>
          <w:color w:val="auto"/>
          <w:kern w:val="0"/>
          <w:sz w:val="44"/>
          <w:szCs w:val="44"/>
          <w:lang w:val="en-US" w:eastAsia="zh-CN" w:bidi="ar"/>
        </w:rPr>
      </w:pPr>
      <w:r>
        <w:rPr>
          <w:rFonts w:hint="eastAsia" w:ascii="黑体" w:hAnsi="黑体" w:eastAsia="黑体" w:cs="黑体"/>
          <w:color w:val="auto"/>
          <w:kern w:val="0"/>
          <w:sz w:val="44"/>
          <w:szCs w:val="44"/>
          <w:lang w:val="en-US" w:eastAsia="zh-CN" w:bidi="ar"/>
        </w:rPr>
        <w:t>目录</w:t>
      </w:r>
    </w:p>
    <w:p>
      <w:pPr>
        <w:pStyle w:val="12"/>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第一部分湖南省</w:t>
      </w:r>
      <w:r>
        <w:rPr>
          <w:rFonts w:hint="eastAsia" w:hAnsi="黑体" w:cs="黑体"/>
          <w:color w:val="auto"/>
          <w:kern w:val="0"/>
          <w:sz w:val="32"/>
          <w:szCs w:val="32"/>
          <w:lang w:val="en-US" w:eastAsia="zh-CN" w:bidi="ar"/>
        </w:rPr>
        <w:t>对外科技交流中心</w:t>
      </w:r>
      <w:r>
        <w:rPr>
          <w:rFonts w:hint="eastAsia" w:ascii="黑体" w:hAnsi="黑体" w:eastAsia="黑体" w:cs="黑体"/>
          <w:color w:val="auto"/>
          <w:kern w:val="0"/>
          <w:sz w:val="32"/>
          <w:szCs w:val="32"/>
          <w:lang w:val="en-US" w:eastAsia="zh-CN" w:bidi="ar"/>
        </w:rPr>
        <w:t>概况</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12"/>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第二部分202</w:t>
      </w:r>
      <w:r>
        <w:rPr>
          <w:rFonts w:hint="eastAsia" w:hAnsi="黑体" w:cs="黑体"/>
          <w:color w:val="auto"/>
          <w:kern w:val="0"/>
          <w:sz w:val="32"/>
          <w:szCs w:val="32"/>
          <w:lang w:val="en-US" w:eastAsia="zh-CN" w:bidi="ar"/>
        </w:rPr>
        <w:t>1</w:t>
      </w:r>
      <w:r>
        <w:rPr>
          <w:rFonts w:hint="eastAsia" w:ascii="黑体" w:hAnsi="黑体" w:eastAsia="黑体" w:cs="黑体"/>
          <w:color w:val="auto"/>
          <w:kern w:val="0"/>
          <w:sz w:val="32"/>
          <w:szCs w:val="32"/>
          <w:lang w:val="en-US" w:eastAsia="zh-CN" w:bidi="ar"/>
        </w:rPr>
        <w:t>年度部门决算表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12"/>
        <w:keepNext w:val="0"/>
        <w:keepLines w:val="0"/>
        <w:pageBreakBefore w:val="0"/>
        <w:widowControl w:val="0"/>
        <w:kinsoku/>
        <w:wordWrap/>
        <w:overflowPunct/>
        <w:topLinePunct w:val="0"/>
        <w:bidi w:val="0"/>
        <w:snapToGrid/>
        <w:spacing w:line="480" w:lineRule="exact"/>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第三部分202</w:t>
      </w:r>
      <w:r>
        <w:rPr>
          <w:rFonts w:hint="eastAsia" w:hAnsi="黑体" w:cs="黑体"/>
          <w:color w:val="auto"/>
          <w:kern w:val="0"/>
          <w:sz w:val="32"/>
          <w:szCs w:val="32"/>
          <w:lang w:val="en-US" w:eastAsia="zh-CN" w:bidi="ar"/>
        </w:rPr>
        <w:t>1</w:t>
      </w:r>
      <w:r>
        <w:rPr>
          <w:rFonts w:hint="eastAsia" w:ascii="黑体" w:hAnsi="黑体" w:eastAsia="黑体" w:cs="黑体"/>
          <w:color w:val="auto"/>
          <w:kern w:val="0"/>
          <w:sz w:val="32"/>
          <w:szCs w:val="32"/>
          <w:lang w:val="en-US" w:eastAsia="zh-CN" w:bidi="ar"/>
        </w:rPr>
        <w:t>年度部门决算情况说明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keepNext w:val="0"/>
        <w:keepLines w:val="0"/>
        <w:pageBreakBefore w:val="0"/>
        <w:widowControl w:val="0"/>
        <w:kinsoku/>
        <w:wordWrap/>
        <w:overflowPunct/>
        <w:topLinePunct w:val="0"/>
        <w:bidi w:val="0"/>
        <w:snapToGrid/>
        <w:spacing w:line="480" w:lineRule="exact"/>
        <w:ind w:firstLine="700" w:firstLineChars="250"/>
        <w:jc w:val="left"/>
        <w:textAlignment w:val="auto"/>
        <w:rPr>
          <w:rFonts w:ascii="仿宋_GB2312" w:hAnsi="仿宋_GB2312" w:cs="仿宋_GB2312"/>
          <w:sz w:val="28"/>
          <w:szCs w:val="28"/>
        </w:rPr>
      </w:pPr>
      <w:r>
        <w:rPr>
          <w:rFonts w:ascii="仿宋_GB2312" w:hAnsi="仿宋_GB2312" w:cs="仿宋_GB2312"/>
          <w:sz w:val="28"/>
          <w:szCs w:val="28"/>
        </w:rPr>
        <w:t>二、收入决算情况说明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十一、关于政府采购支出说明</w:t>
      </w:r>
    </w:p>
    <w:p>
      <w:pPr>
        <w:pStyle w:val="12"/>
        <w:keepNext w:val="0"/>
        <w:keepLines w:val="0"/>
        <w:pageBreakBefore w:val="0"/>
        <w:widowControl w:val="0"/>
        <w:kinsoku/>
        <w:wordWrap/>
        <w:overflowPunct/>
        <w:topLinePunct w:val="0"/>
        <w:bidi w:val="0"/>
        <w:snapToGrid/>
        <w:spacing w:line="480" w:lineRule="exact"/>
        <w:ind w:firstLine="700" w:firstLineChars="250"/>
        <w:textAlignment w:val="auto"/>
        <w:rPr>
          <w:rFonts w:hint="eastAsia" w:ascii="仿宋_GB2312" w:hAnsi="仿宋_GB2312" w:cs="仿宋_GB2312" w:eastAsiaTheme="minorEastAsia"/>
          <w:sz w:val="28"/>
          <w:szCs w:val="28"/>
        </w:rPr>
      </w:pPr>
      <w:r>
        <w:rPr>
          <w:rFonts w:hint="eastAsia" w:ascii="仿宋_GB2312" w:hAnsi="仿宋_GB2312" w:cs="仿宋_GB2312" w:eastAsiaTheme="minorEastAsia"/>
          <w:sz w:val="28"/>
          <w:szCs w:val="28"/>
        </w:rPr>
        <w:t>十二、关于国有资产占用情况说明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560" w:firstLineChars="200"/>
        <w:jc w:val="left"/>
        <w:textAlignment w:val="auto"/>
        <w:rPr>
          <w:rFonts w:hint="default" w:ascii="仿宋_GB2312" w:hAnsi="仿宋_GB2312" w:cs="仿宋_GB2312" w:eastAsiaTheme="minorEastAsia"/>
          <w:color w:val="000000"/>
          <w:kern w:val="0"/>
          <w:sz w:val="28"/>
          <w:szCs w:val="28"/>
          <w:lang w:val="en-US" w:eastAsia="zh-CN" w:bidi="ar-SA"/>
        </w:rPr>
      </w:pPr>
      <w:r>
        <w:rPr>
          <w:rFonts w:hint="eastAsia" w:ascii="仿宋_GB2312" w:hAnsi="仿宋_GB2312" w:cs="仿宋_GB2312" w:eastAsiaTheme="minorEastAsia"/>
          <w:color w:val="000000"/>
          <w:kern w:val="0"/>
          <w:sz w:val="28"/>
          <w:szCs w:val="28"/>
          <w:lang w:val="en-US" w:eastAsia="zh-CN" w:bidi="ar-SA"/>
        </w:rPr>
        <w:t>十三、2021年度预算绩效情况说明</w:t>
      </w:r>
    </w:p>
    <w:p>
      <w:pPr>
        <w:keepNext w:val="0"/>
        <w:keepLines w:val="0"/>
        <w:pageBreakBefore w:val="0"/>
        <w:widowControl w:val="0"/>
        <w:kinsoku/>
        <w:wordWrap/>
        <w:overflowPunct/>
        <w:topLinePunct w:val="0"/>
        <w:autoSpaceDE w:val="0"/>
        <w:autoSpaceDN w:val="0"/>
        <w:bidi w:val="0"/>
        <w:adjustRightInd w:val="0"/>
        <w:snapToGrid/>
        <w:spacing w:line="480" w:lineRule="exact"/>
        <w:jc w:val="left"/>
        <w:textAlignment w:val="auto"/>
        <w:rPr>
          <w:rFonts w:hint="eastAsia" w:ascii="黑体" w:hAnsi="黑体" w:eastAsia="黑体" w:cs="黑体"/>
          <w:kern w:val="0"/>
          <w:sz w:val="32"/>
          <w:szCs w:val="32"/>
          <w:lang w:val="en-US" w:eastAsia="zh-CN" w:bidi="ar"/>
        </w:rPr>
      </w:pPr>
      <w:r>
        <w:rPr>
          <w:rFonts w:hint="eastAsia" w:ascii="黑体" w:hAnsi="黑体" w:eastAsia="黑体" w:cs="黑体"/>
          <w:kern w:val="0"/>
          <w:sz w:val="32"/>
          <w:szCs w:val="32"/>
          <w:lang w:val="en-US" w:eastAsia="zh-CN" w:bidi="ar"/>
        </w:rPr>
        <w:t>第四部分名词解释</w:t>
      </w:r>
    </w:p>
    <w:p>
      <w:pPr>
        <w:jc w:val="center"/>
        <w:rPr>
          <w:sz w:val="72"/>
          <w:szCs w:val="72"/>
        </w:rPr>
      </w:pPr>
    </w:p>
    <w:p>
      <w:pPr>
        <w:jc w:val="center"/>
        <w:rPr>
          <w:sz w:val="72"/>
          <w:szCs w:val="72"/>
        </w:rPr>
      </w:pPr>
    </w:p>
    <w:p>
      <w:pPr>
        <w:jc w:val="center"/>
        <w:rPr>
          <w:sz w:val="72"/>
          <w:szCs w:val="72"/>
        </w:rPr>
      </w:pPr>
    </w:p>
    <w:p>
      <w:pPr>
        <w:jc w:val="center"/>
        <w:rPr>
          <w:sz w:val="72"/>
          <w:szCs w:val="72"/>
        </w:rPr>
      </w:pPr>
    </w:p>
    <w:p>
      <w:pPr>
        <w:rPr>
          <w:sz w:val="72"/>
          <w:szCs w:val="72"/>
        </w:rPr>
      </w:pPr>
    </w:p>
    <w:p>
      <w:pPr>
        <w:pStyle w:val="12"/>
        <w:jc w:val="center"/>
        <w:rPr>
          <w:sz w:val="84"/>
          <w:szCs w:val="84"/>
        </w:rPr>
      </w:pPr>
      <w:r>
        <w:rPr>
          <w:rFonts w:hint="eastAsia"/>
          <w:sz w:val="84"/>
          <w:szCs w:val="84"/>
        </w:rPr>
        <w:t>第一部分</w:t>
      </w:r>
      <w:r>
        <w:rPr>
          <w:sz w:val="84"/>
          <w:szCs w:val="84"/>
        </w:rPr>
        <w:t xml:space="preserve"> </w:t>
      </w:r>
    </w:p>
    <w:p>
      <w:pPr>
        <w:pStyle w:val="12"/>
        <w:jc w:val="center"/>
        <w:rPr>
          <w:sz w:val="84"/>
          <w:szCs w:val="84"/>
        </w:rPr>
      </w:pPr>
    </w:p>
    <w:p>
      <w:pPr>
        <w:pStyle w:val="12"/>
        <w:jc w:val="center"/>
        <w:rPr>
          <w:rFonts w:hint="eastAsia" w:eastAsia="黑体"/>
          <w:sz w:val="84"/>
          <w:szCs w:val="84"/>
          <w:lang w:eastAsia="zh-CN"/>
        </w:rPr>
      </w:pPr>
      <w:r>
        <w:rPr>
          <w:rFonts w:hint="eastAsia"/>
          <w:sz w:val="84"/>
          <w:szCs w:val="84"/>
        </w:rPr>
        <w:t>湖南省</w:t>
      </w:r>
      <w:r>
        <w:rPr>
          <w:rFonts w:hint="eastAsia"/>
          <w:sz w:val="84"/>
          <w:szCs w:val="84"/>
          <w:lang w:eastAsia="zh-CN"/>
        </w:rPr>
        <w:t>对外科技交流中心</w:t>
      </w:r>
    </w:p>
    <w:p>
      <w:pPr>
        <w:pStyle w:val="12"/>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3"/>
        <w:keepNext w:val="0"/>
        <w:keepLines w:val="0"/>
        <w:pageBreakBefore w:val="0"/>
        <w:numPr>
          <w:ilvl w:val="0"/>
          <w:numId w:val="0"/>
        </w:numPr>
        <w:kinsoku/>
        <w:wordWrap/>
        <w:overflowPunct/>
        <w:topLinePunct w:val="0"/>
        <w:autoSpaceDE/>
        <w:autoSpaceDN/>
        <w:bidi w:val="0"/>
        <w:adjustRightInd/>
        <w:snapToGrid/>
        <w:jc w:val="left"/>
        <w:textAlignment w:val="auto"/>
        <w:rPr>
          <w:rFonts w:ascii="黑体" w:hAnsi="黑体" w:eastAsia="黑体"/>
          <w:sz w:val="32"/>
          <w:szCs w:val="32"/>
        </w:rPr>
      </w:pPr>
    </w:p>
    <w:p>
      <w:pPr>
        <w:pStyle w:val="13"/>
        <w:keepNext w:val="0"/>
        <w:keepLines w:val="0"/>
        <w:pageBreakBefore w:val="0"/>
        <w:numPr>
          <w:ilvl w:val="0"/>
          <w:numId w:val="0"/>
        </w:numPr>
        <w:kinsoku/>
        <w:wordWrap/>
        <w:overflowPunct/>
        <w:topLinePunct w:val="0"/>
        <w:autoSpaceDE/>
        <w:autoSpaceDN/>
        <w:bidi w:val="0"/>
        <w:adjustRightInd/>
        <w:snapToGrid/>
        <w:jc w:val="left"/>
        <w:textAlignment w:val="auto"/>
        <w:rPr>
          <w:rFonts w:ascii="黑体" w:hAnsi="黑体" w:eastAsia="黑体"/>
          <w:sz w:val="32"/>
          <w:szCs w:val="32"/>
        </w:rPr>
      </w:pPr>
    </w:p>
    <w:p>
      <w:pPr>
        <w:pStyle w:val="13"/>
        <w:keepNext w:val="0"/>
        <w:keepLines w:val="0"/>
        <w:pageBreakBefore w:val="0"/>
        <w:numPr>
          <w:ilvl w:val="0"/>
          <w:numId w:val="0"/>
        </w:numPr>
        <w:kinsoku/>
        <w:wordWrap/>
        <w:overflowPunct/>
        <w:topLinePunct w:val="0"/>
        <w:autoSpaceDE/>
        <w:autoSpaceDN/>
        <w:bidi w:val="0"/>
        <w:adjustRightInd/>
        <w:snapToGrid/>
        <w:jc w:val="left"/>
        <w:textAlignment w:val="auto"/>
        <w:rPr>
          <w:rFonts w:ascii="黑体" w:hAnsi="黑体" w:eastAsia="黑体"/>
          <w:sz w:val="32"/>
          <w:szCs w:val="32"/>
        </w:rPr>
      </w:pPr>
    </w:p>
    <w:p>
      <w:pPr>
        <w:pStyle w:val="13"/>
        <w:keepNext w:val="0"/>
        <w:keepLines w:val="0"/>
        <w:pageBreakBefore w:val="0"/>
        <w:numPr>
          <w:ilvl w:val="0"/>
          <w:numId w:val="0"/>
        </w:numPr>
        <w:kinsoku/>
        <w:wordWrap/>
        <w:overflowPunct/>
        <w:topLinePunct w:val="0"/>
        <w:autoSpaceDE/>
        <w:autoSpaceDN/>
        <w:bidi w:val="0"/>
        <w:adjustRightInd/>
        <w:snapToGrid/>
        <w:jc w:val="left"/>
        <w:textAlignment w:val="auto"/>
        <w:rPr>
          <w:rFonts w:ascii="黑体" w:hAnsi="黑体" w:eastAsia="黑体"/>
          <w:sz w:val="32"/>
          <w:szCs w:val="32"/>
        </w:rPr>
      </w:pPr>
    </w:p>
    <w:p>
      <w:pPr>
        <w:pStyle w:val="1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ascii="黑体" w:hAnsi="黑体" w:eastAsia="黑体"/>
          <w:sz w:val="32"/>
          <w:szCs w:val="32"/>
        </w:rPr>
      </w:pPr>
      <w:r>
        <w:rPr>
          <w:rFonts w:hint="eastAsia" w:ascii="黑体" w:hAnsi="黑体" w:eastAsia="黑体"/>
          <w:sz w:val="32"/>
          <w:szCs w:val="32"/>
          <w:lang w:eastAsia="zh-CN"/>
        </w:rPr>
        <w:t>一、</w:t>
      </w:r>
      <w:r>
        <w:rPr>
          <w:rFonts w:ascii="黑体" w:hAnsi="黑体" w:eastAsia="黑体"/>
          <w:sz w:val="32"/>
          <w:szCs w:val="32"/>
        </w:rPr>
        <w:t>部门职责</w:t>
      </w:r>
    </w:p>
    <w:p>
      <w:pPr>
        <w:pStyle w:val="5"/>
        <w:keepNext w:val="0"/>
        <w:keepLines w:val="0"/>
        <w:widowControl/>
        <w:suppressLineNumbers w:val="0"/>
        <w:shd w:val="clear" w:color="auto" w:fill="FFFFFF"/>
        <w:wordWrap/>
        <w:spacing w:before="0" w:beforeAutospacing="0" w:after="0" w:afterAutospacing="0"/>
        <w:ind w:left="0" w:right="0" w:firstLine="624" w:firstLineChars="200"/>
        <w:jc w:val="left"/>
        <w:rPr>
          <w:rFonts w:hint="eastAsia" w:ascii="仿宋_GB2312" w:hAnsi="仿宋_GB2312" w:eastAsia="仿宋_GB2312" w:cs="仿宋_GB2312"/>
          <w:spacing w:val="-4"/>
          <w:kern w:val="2"/>
          <w:sz w:val="32"/>
          <w:szCs w:val="32"/>
          <w:lang w:val="en-US" w:eastAsia="zh-CN" w:bidi="ar-SA"/>
        </w:rPr>
      </w:pPr>
      <w:r>
        <w:rPr>
          <w:rFonts w:hint="eastAsia" w:ascii="仿宋_GB2312" w:hAnsi="仿宋_GB2312" w:eastAsia="仿宋_GB2312" w:cs="仿宋_GB2312"/>
          <w:spacing w:val="-4"/>
          <w:kern w:val="2"/>
          <w:sz w:val="32"/>
          <w:szCs w:val="32"/>
          <w:lang w:val="en-US" w:eastAsia="zh-CN" w:bidi="ar-SA"/>
        </w:rPr>
        <w:t>湖南省对外科技交流中心于1982年经省政府批准成立，是湖南省科技厅直属的从事对外科学技术交流活动的专业机构。主要承担我省与其他国家和地区、国际组织间以及对粤港澳、长三角等区域和台湾地区的科技创新合作与交流的相关服务、促进工作；承担外国专家在湘创新创业、外国人来华工作许可的相关服务工作；承担湖南省科技创新创业人才出国（境）培训和科技因公出国（境）团组的相关事务性工作；承担我省与中国科学院、中国工程院以及有关高校、科研院所、创新平台等机构的科技创新合作相关服务促进工作；承担全省国家级与省级国际科技合作基地的相关服务工作，开展国际科技合作与交流以及对港澳台地区科技合作与交流的统计调查和重点工作年度监测；围绕国家、省重大科技战略和省、厅重大决策部署，协助开展我省对外科技交流合作相关重大问题研究。</w:t>
      </w:r>
    </w:p>
    <w:p>
      <w:pPr>
        <w:keepNext w:val="0"/>
        <w:keepLines w:val="0"/>
        <w:pageBreakBefore w:val="0"/>
        <w:widowControl/>
        <w:kinsoku/>
        <w:wordWrap/>
        <w:overflowPunct/>
        <w:topLinePunct w:val="0"/>
        <w:autoSpaceDE/>
        <w:autoSpaceDN/>
        <w:bidi w:val="0"/>
        <w:adjustRightInd/>
        <w:snapToGrid/>
        <w:spacing w:line="560" w:lineRule="exact"/>
        <w:ind w:left="0" w:firstLine="640" w:firstLineChars="200"/>
        <w:textAlignment w:val="auto"/>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ind w:firstLine="640" w:firstLineChars="200"/>
        <w:jc w:val="left"/>
        <w:rPr>
          <w:rFonts w:hint="eastAsia" w:ascii="仿宋_GB2312" w:hAnsi="仿宋_GB2312" w:eastAsia="仿宋_GB2312" w:cs="仿宋_GB2312"/>
          <w:spacing w:val="-4"/>
          <w:kern w:val="2"/>
          <w:sz w:val="32"/>
          <w:szCs w:val="32"/>
          <w:lang w:val="en-US" w:eastAsia="zh-CN" w:bidi="ar-SA"/>
        </w:rPr>
      </w:pPr>
      <w:r>
        <w:rPr>
          <w:rFonts w:hint="eastAsia" w:ascii="楷体" w:hAnsi="楷体" w:eastAsia="楷体" w:cs="楷体"/>
          <w:sz w:val="32"/>
          <w:szCs w:val="32"/>
        </w:rPr>
        <w:t>（一）内设机构设置。</w:t>
      </w:r>
      <w:r>
        <w:rPr>
          <w:rFonts w:hint="eastAsia" w:ascii="仿宋_GB2312" w:hAnsi="仿宋_GB2312" w:eastAsia="仿宋_GB2312" w:cs="仿宋_GB2312"/>
          <w:spacing w:val="-4"/>
          <w:kern w:val="2"/>
          <w:sz w:val="32"/>
          <w:szCs w:val="32"/>
          <w:lang w:val="en-US" w:eastAsia="zh-CN" w:bidi="ar-SA"/>
        </w:rPr>
        <w:t>湖南省对外科技交流中心内设部门为3个，分别为综合部、科技交流与外联培训部、平台项目调研部。</w:t>
      </w:r>
    </w:p>
    <w:p>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pacing w:val="-4"/>
          <w:kern w:val="2"/>
          <w:sz w:val="32"/>
          <w:szCs w:val="32"/>
          <w:lang w:val="en-US" w:eastAsia="zh-CN" w:bidi="ar-SA"/>
        </w:rPr>
      </w:pPr>
      <w:r>
        <w:rPr>
          <w:rFonts w:hint="eastAsia" w:ascii="楷体" w:hAnsi="楷体" w:eastAsia="楷体" w:cs="楷体"/>
          <w:sz w:val="32"/>
          <w:szCs w:val="32"/>
        </w:rPr>
        <w:t>（二）决算单位构成。</w:t>
      </w:r>
      <w:r>
        <w:rPr>
          <w:rFonts w:hint="eastAsia" w:ascii="仿宋_GB2312" w:hAnsi="仿宋_GB2312" w:eastAsia="仿宋_GB2312" w:cs="仿宋_GB2312"/>
          <w:color w:val="auto"/>
          <w:spacing w:val="-4"/>
          <w:kern w:val="2"/>
          <w:sz w:val="32"/>
          <w:szCs w:val="32"/>
          <w:lang w:val="en-US" w:eastAsia="zh-CN" w:bidi="ar-SA"/>
        </w:rPr>
        <w:t>决算构成单位包括湖南省对外科技交流中心，本单位无下属单位。</w:t>
      </w:r>
    </w:p>
    <w:p>
      <w:pPr>
        <w:keepNext w:val="0"/>
        <w:keepLines w:val="0"/>
        <w:pageBreakBefore w:val="0"/>
        <w:kinsoku/>
        <w:wordWrap/>
        <w:overflowPunct/>
        <w:topLinePunct w:val="0"/>
        <w:autoSpaceDE/>
        <w:autoSpaceDN/>
        <w:bidi w:val="0"/>
        <w:adjustRightInd/>
        <w:spacing w:line="560" w:lineRule="exact"/>
        <w:jc w:val="center"/>
        <w:textAlignment w:val="auto"/>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r>
        <w:rPr>
          <w:rFonts w:hint="eastAsia"/>
          <w:sz w:val="72"/>
          <w:szCs w:val="72"/>
        </w:rPr>
        <w:t>第二部分</w:t>
      </w:r>
    </w:p>
    <w:p>
      <w:pPr>
        <w:jc w:val="center"/>
        <w:rPr>
          <w:sz w:val="72"/>
          <w:szCs w:val="72"/>
        </w:rPr>
      </w:pPr>
    </w:p>
    <w:p>
      <w:pPr>
        <w:jc w:val="center"/>
        <w:rPr>
          <w:sz w:val="72"/>
          <w:szCs w:val="72"/>
        </w:rPr>
      </w:pPr>
      <w:r>
        <w:rPr>
          <w:rFonts w:hint="eastAsia"/>
          <w:sz w:val="72"/>
          <w:szCs w:val="72"/>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1174" w:right="1230" w:bottom="1174" w:left="1230" w:header="851" w:footer="992" w:gutter="0"/>
          <w:cols w:space="425" w:num="1"/>
          <w:docGrid w:type="lines" w:linePitch="312" w:charSpace="0"/>
        </w:sectPr>
      </w:pPr>
    </w:p>
    <w:p>
      <w:pPr>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p>
      <w:pPr>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公开01表</w:t>
      </w:r>
    </w:p>
    <w:p>
      <w:pPr>
        <w:jc w:val="center"/>
        <w:rPr>
          <w:rFonts w:hint="eastAsia" w:ascii="华文中宋" w:hAnsi="华文中宋" w:eastAsia="华文中宋" w:cs="宋体"/>
          <w:color w:val="000000"/>
          <w:kern w:val="0"/>
          <w:sz w:val="32"/>
          <w:szCs w:val="32"/>
        </w:rPr>
      </w:pPr>
      <w:r>
        <w:rPr>
          <w:rFonts w:hint="eastAsia" w:ascii="仿宋_GB2312" w:hAnsi="仿宋_GB2312" w:eastAsia="仿宋_GB2312" w:cs="仿宋_GB2312"/>
          <w:color w:val="000000"/>
          <w:kern w:val="0"/>
          <w:sz w:val="21"/>
          <w:szCs w:val="21"/>
        </w:rPr>
        <w:t>部门：</w:t>
      </w:r>
      <w:r>
        <w:rPr>
          <w:rFonts w:hint="eastAsia" w:ascii="仿宋_GB2312" w:hAnsi="仿宋_GB2312" w:eastAsia="仿宋_GB2312" w:cs="仿宋_GB2312"/>
          <w:color w:val="000000"/>
          <w:kern w:val="0"/>
          <w:sz w:val="21"/>
          <w:szCs w:val="21"/>
          <w:lang w:eastAsia="zh-CN"/>
        </w:rPr>
        <w:t>湖南省对外科技交流中心</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单位：万元</w:t>
      </w:r>
    </w:p>
    <w:tbl>
      <w:tblPr>
        <w:tblStyle w:val="7"/>
        <w:tblW w:w="14044" w:type="dxa"/>
        <w:tblInd w:w="-31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660"/>
        <w:gridCol w:w="840"/>
        <w:gridCol w:w="1522"/>
        <w:gridCol w:w="4564"/>
        <w:gridCol w:w="874"/>
        <w:gridCol w:w="15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022"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收入</w:t>
            </w:r>
          </w:p>
        </w:tc>
        <w:tc>
          <w:tcPr>
            <w:tcW w:w="7022" w:type="dxa"/>
            <w:gridSpan w:val="3"/>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84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874"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201.88</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三、国有资本经营预算财政拨款收入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四、上级补助收入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五、事业收入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66.15</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六、经营收入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215.21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七、附属单位上缴收入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八、其他收入</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0.21</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12.00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九、卫生健康支出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十、节能环保支出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十一、城乡社区支出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十二、农林水支出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十三、交通运输支出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十四、资源勘探工业信息等支出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十五、商业服务业等支出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十六、金融支出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十七、援助其他地区支出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十八、自然资源海洋气象等支出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十九、住房保障支出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19.60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二十、粮油物资储备支出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1522" w:type="dxa"/>
            <w:tcBorders>
              <w:top w:val="nil"/>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二十一、国有资本经营预算支出</w:t>
            </w:r>
          </w:p>
        </w:tc>
        <w:tc>
          <w:tcPr>
            <w:tcW w:w="874"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1584" w:type="dxa"/>
            <w:tcBorders>
              <w:top w:val="nil"/>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1522"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二十二、灾害防治及应急管理支出</w:t>
            </w:r>
          </w:p>
        </w:tc>
        <w:tc>
          <w:tcPr>
            <w:tcW w:w="874"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1584"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二十三、其他支出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二十四、债务还本支出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二十五、债务付息支出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二十六、抗疫特别国债安排的支出</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158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本年收入合计</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268.24</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本年支出合计</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246.81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使用非财政拨款结余</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13.70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结余分配</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69.76</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年末结转和结余</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104.88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522"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456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1584"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4660"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总计</w:t>
            </w:r>
          </w:p>
        </w:tc>
        <w:tc>
          <w:tcPr>
            <w:tcW w:w="8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31</w:t>
            </w:r>
          </w:p>
        </w:tc>
        <w:tc>
          <w:tcPr>
            <w:tcW w:w="152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351.70</w:t>
            </w:r>
          </w:p>
        </w:tc>
        <w:tc>
          <w:tcPr>
            <w:tcW w:w="456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总计</w:t>
            </w:r>
          </w:p>
        </w:tc>
        <w:tc>
          <w:tcPr>
            <w:tcW w:w="87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62</w:t>
            </w:r>
          </w:p>
        </w:tc>
        <w:tc>
          <w:tcPr>
            <w:tcW w:w="158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2"/>
                <w:sz w:val="20"/>
                <w:szCs w:val="20"/>
                <w:u w:val="none"/>
                <w:lang w:val="en-US" w:eastAsia="zh-CN" w:bidi="ar-SA"/>
              </w:rPr>
              <w:t>351.70</w:t>
            </w:r>
          </w:p>
        </w:tc>
      </w:tr>
    </w:tbl>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rPr>
        <w:t>注：1.本表反映部门本年度的总收支和年末结转结余情况。</w:t>
      </w:r>
    </w:p>
    <w:p>
      <w:pPr>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 </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2.本套报表金额单位转换时可能存在尾数误差。</w:t>
      </w: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left"/>
        <w:rPr>
          <w:rFonts w:hint="eastAsia" w:ascii="宋体" w:hAnsi="宋体" w:eastAsia="宋体" w:cs="宋体"/>
          <w:kern w:val="0"/>
          <w:sz w:val="24"/>
          <w:szCs w:val="24"/>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p>
    <w:p>
      <w:pPr>
        <w:jc w:val="center"/>
        <w:rPr>
          <w:rFonts w:hint="eastAsia" w:ascii="华文中宋" w:hAnsi="华文中宋" w:eastAsia="华文中宋"/>
          <w:color w:val="000000"/>
          <w:sz w:val="32"/>
          <w:szCs w:val="32"/>
        </w:rPr>
      </w:pPr>
      <w:r>
        <w:rPr>
          <w:rFonts w:hint="eastAsia" w:ascii="华文中宋" w:hAnsi="华文中宋" w:eastAsia="华文中宋"/>
          <w:color w:val="000000"/>
          <w:sz w:val="32"/>
          <w:szCs w:val="32"/>
        </w:rPr>
        <w:t>收入决算表</w:t>
      </w:r>
    </w:p>
    <w:p>
      <w:pPr>
        <w:keepNext w:val="0"/>
        <w:keepLines w:val="0"/>
        <w:pageBreakBefore w:val="0"/>
        <w:widowControl w:val="0"/>
        <w:kinsoku/>
        <w:wordWrap/>
        <w:overflowPunct/>
        <w:topLinePunct w:val="0"/>
        <w:autoSpaceDE/>
        <w:autoSpaceDN/>
        <w:bidi w:val="0"/>
        <w:adjustRightInd/>
        <w:snapToGrid/>
        <w:jc w:val="right"/>
        <w:textAlignment w:val="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公开0</w:t>
      </w:r>
      <w:r>
        <w:rPr>
          <w:rFonts w:hint="eastAsia" w:ascii="仿宋_GB2312" w:hAnsi="仿宋_GB2312" w:eastAsia="仿宋_GB2312" w:cs="仿宋_GB2312"/>
          <w:color w:val="000000"/>
          <w:kern w:val="0"/>
          <w:sz w:val="21"/>
          <w:szCs w:val="21"/>
          <w:lang w:val="en-US" w:eastAsia="zh-CN"/>
        </w:rPr>
        <w:t>2</w:t>
      </w:r>
      <w:r>
        <w:rPr>
          <w:rFonts w:hint="eastAsia" w:ascii="仿宋_GB2312" w:hAnsi="仿宋_GB2312" w:eastAsia="仿宋_GB2312" w:cs="仿宋_GB2312"/>
          <w:color w:val="000000"/>
          <w:kern w:val="0"/>
          <w:sz w:val="21"/>
          <w:szCs w:val="21"/>
        </w:rPr>
        <w:t>表</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部门：</w:t>
      </w:r>
      <w:r>
        <w:rPr>
          <w:rFonts w:hint="eastAsia" w:ascii="仿宋_GB2312" w:hAnsi="仿宋_GB2312" w:eastAsia="仿宋_GB2312" w:cs="仿宋_GB2312"/>
          <w:color w:val="000000"/>
          <w:kern w:val="0"/>
          <w:sz w:val="21"/>
          <w:szCs w:val="21"/>
          <w:lang w:eastAsia="zh-CN"/>
        </w:rPr>
        <w:t>湖南省对外科技交流中心</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单位：万元</w:t>
      </w:r>
    </w:p>
    <w:tbl>
      <w:tblPr>
        <w:tblStyle w:val="7"/>
        <w:tblpPr w:leftFromText="180" w:rightFromText="180" w:vertAnchor="text" w:horzAnchor="page" w:tblpX="1199" w:tblpY="316"/>
        <w:tblOverlap w:val="never"/>
        <w:tblW w:w="147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29"/>
        <w:gridCol w:w="3908"/>
        <w:gridCol w:w="1388"/>
        <w:gridCol w:w="1423"/>
        <w:gridCol w:w="1386"/>
        <w:gridCol w:w="1393"/>
        <w:gridCol w:w="1390"/>
        <w:gridCol w:w="1384"/>
        <w:gridCol w:w="13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503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390"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本年收入合计</w:t>
            </w:r>
          </w:p>
        </w:tc>
        <w:tc>
          <w:tcPr>
            <w:tcW w:w="1416"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财政拨款收入</w:t>
            </w:r>
          </w:p>
        </w:tc>
        <w:tc>
          <w:tcPr>
            <w:tcW w:w="1387"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上级补助收入</w:t>
            </w:r>
          </w:p>
        </w:tc>
        <w:tc>
          <w:tcPr>
            <w:tcW w:w="1394"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事业收入</w:t>
            </w:r>
          </w:p>
        </w:tc>
        <w:tc>
          <w:tcPr>
            <w:tcW w:w="1391"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经营收入</w:t>
            </w:r>
          </w:p>
        </w:tc>
        <w:tc>
          <w:tcPr>
            <w:tcW w:w="1385"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附属单位上缴收入</w:t>
            </w:r>
          </w:p>
        </w:tc>
        <w:tc>
          <w:tcPr>
            <w:tcW w:w="1390"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3908"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1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390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1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29"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3908"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1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85"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9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39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416"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87"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39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91"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385"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39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2"/>
                <w:sz w:val="20"/>
                <w:szCs w:val="20"/>
                <w:u w:val="none"/>
                <w:lang w:val="en-US" w:eastAsia="zh-CN" w:bidi="ar-SA"/>
              </w:rPr>
              <w:t>268.24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2"/>
                <w:sz w:val="20"/>
                <w:szCs w:val="20"/>
                <w:u w:val="none"/>
                <w:lang w:val="en-US" w:eastAsia="zh-CN" w:bidi="ar-SA"/>
              </w:rPr>
              <w:t>201.88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2"/>
                <w:sz w:val="20"/>
                <w:szCs w:val="20"/>
                <w:u w:val="none"/>
                <w:lang w:val="en-US" w:eastAsia="zh-CN" w:bidi="ar-SA"/>
              </w:rPr>
              <w:t>66.15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2"/>
                <w:sz w:val="20"/>
                <w:szCs w:val="20"/>
                <w:u w:val="none"/>
                <w:lang w:val="en-US" w:eastAsia="zh-CN" w:bidi="ar-SA"/>
              </w:rPr>
              <w:t>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sz w:val="20"/>
                <w:szCs w:val="20"/>
                <w:u w:val="none"/>
              </w:rPr>
              <w:t>科学技术支出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236.64</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170.28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66.15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20603</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应用研究</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213.76</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147.40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66.15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2060301</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机构运行</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112.61</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112.40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2060302</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社会公益研究</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101.15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35.00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66.15</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20604</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技术研究与开发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17.88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17.88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2060499</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其他技术研究与开发支出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17.88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17.88</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val="0"/>
                <w:bCs/>
                <w:i w:val="0"/>
                <w:color w:val="000000"/>
                <w:sz w:val="20"/>
                <w:szCs w:val="20"/>
                <w:u w:val="none"/>
              </w:rPr>
            </w:pPr>
            <w:r>
              <w:rPr>
                <w:rFonts w:hint="eastAsia" w:ascii="宋体" w:hAnsi="宋体" w:eastAsia="宋体" w:cs="宋体"/>
                <w:b w:val="0"/>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20607</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2"/>
                <w:sz w:val="20"/>
                <w:szCs w:val="20"/>
                <w:u w:val="none"/>
                <w:lang w:val="en-US" w:eastAsia="zh-CN" w:bidi="ar-SA"/>
              </w:rPr>
              <w:t>科学技术普及</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 xml:space="preserve">        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2060799</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其他科学技术普及支出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5.00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208</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社会保障和就业支出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20805</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行政事业单位养老支出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2080505</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221</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住房保障支出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22102</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住房改革支出</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19.60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2210201</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住房公积金</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29"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2210203</w:t>
            </w:r>
          </w:p>
        </w:tc>
        <w:tc>
          <w:tcPr>
            <w:tcW w:w="3908"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购房补贴</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7.60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7.60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bl>
    <w:p>
      <w:pPr>
        <w:jc w:val="left"/>
        <w:rPr>
          <w:rFonts w:hint="eastAsia" w:ascii="华文中宋" w:hAnsi="华文中宋" w:eastAsia="华文中宋"/>
          <w:color w:val="000000"/>
          <w:sz w:val="24"/>
          <w:szCs w:val="24"/>
        </w:rPr>
      </w:pPr>
    </w:p>
    <w:p>
      <w:pPr>
        <w:jc w:val="center"/>
        <w:rPr>
          <w:rFonts w:hint="eastAsia" w:ascii="华文中宋" w:hAnsi="华文中宋" w:eastAsia="华文中宋" w:cs="宋体"/>
          <w:color w:val="000000"/>
          <w:kern w:val="0"/>
          <w:sz w:val="32"/>
          <w:szCs w:val="32"/>
        </w:rPr>
        <w:sectPr>
          <w:pgSz w:w="16838" w:h="11906" w:orient="landscape"/>
          <w:pgMar w:top="1440" w:right="1803" w:bottom="1440" w:left="1803" w:header="851" w:footer="992" w:gutter="0"/>
          <w:cols w:space="425" w:num="1"/>
          <w:docGrid w:type="linesAndChars" w:linePitch="312" w:charSpace="0"/>
        </w:sectPr>
      </w:pPr>
    </w:p>
    <w:p>
      <w:pPr>
        <w:jc w:val="center"/>
        <w:rPr>
          <w:rFonts w:hint="eastAsia"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p>
      <w:pPr>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公开0</w:t>
      </w:r>
      <w:r>
        <w:rPr>
          <w:rFonts w:hint="eastAsia" w:ascii="仿宋_GB2312" w:hAnsi="仿宋_GB2312" w:eastAsia="仿宋_GB2312" w:cs="仿宋_GB2312"/>
          <w:color w:val="000000"/>
          <w:kern w:val="0"/>
          <w:sz w:val="21"/>
          <w:szCs w:val="21"/>
          <w:lang w:val="en-US" w:eastAsia="zh-CN"/>
        </w:rPr>
        <w:t>3</w:t>
      </w:r>
      <w:r>
        <w:rPr>
          <w:rFonts w:hint="eastAsia" w:ascii="仿宋_GB2312" w:hAnsi="仿宋_GB2312" w:eastAsia="仿宋_GB2312" w:cs="仿宋_GB2312"/>
          <w:color w:val="000000"/>
          <w:kern w:val="0"/>
          <w:sz w:val="21"/>
          <w:szCs w:val="21"/>
        </w:rPr>
        <w:t>表</w:t>
      </w:r>
    </w:p>
    <w:p>
      <w:pPr>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部门：</w:t>
      </w:r>
      <w:r>
        <w:rPr>
          <w:rFonts w:hint="eastAsia" w:ascii="仿宋_GB2312" w:hAnsi="仿宋_GB2312" w:eastAsia="仿宋_GB2312" w:cs="仿宋_GB2312"/>
          <w:color w:val="000000"/>
          <w:kern w:val="0"/>
          <w:sz w:val="21"/>
          <w:szCs w:val="21"/>
          <w:lang w:eastAsia="zh-CN"/>
        </w:rPr>
        <w:t>湖南省对外科技交流中心</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单位：万元</w:t>
      </w:r>
    </w:p>
    <w:tbl>
      <w:tblPr>
        <w:tblStyle w:val="7"/>
        <w:tblW w:w="14885" w:type="dxa"/>
        <w:tblInd w:w="-62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16"/>
        <w:gridCol w:w="5134"/>
        <w:gridCol w:w="1530"/>
        <w:gridCol w:w="1308"/>
        <w:gridCol w:w="1333"/>
        <w:gridCol w:w="1529"/>
        <w:gridCol w:w="1305"/>
        <w:gridCol w:w="15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5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530"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1308"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1333"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529"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上缴上级支出</w:t>
            </w:r>
          </w:p>
        </w:tc>
        <w:tc>
          <w:tcPr>
            <w:tcW w:w="1305"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经营支出</w:t>
            </w:r>
          </w:p>
        </w:tc>
        <w:tc>
          <w:tcPr>
            <w:tcW w:w="1530"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51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530"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08" w:type="dxa"/>
            <w:vMerge w:val="continue"/>
            <w:tcBorders>
              <w:left w:val="nil"/>
              <w:bottom w:val="single" w:color="auto" w:sz="4" w:space="0"/>
              <w:right w:val="single" w:color="000000" w:sz="4" w:space="0"/>
            </w:tcBorders>
            <w:shd w:val="clear" w:color="auto" w:fill="auto"/>
            <w:vAlign w:val="top"/>
          </w:tcPr>
          <w:p>
            <w:pPr>
              <w:jc w:val="left"/>
              <w:rPr>
                <w:rFonts w:hint="eastAsia" w:ascii="宋体" w:hAnsi="宋体" w:eastAsia="宋体" w:cs="宋体"/>
                <w:i w:val="0"/>
                <w:color w:val="000000"/>
                <w:sz w:val="20"/>
                <w:szCs w:val="20"/>
                <w:u w:val="none"/>
              </w:rPr>
            </w:pPr>
          </w:p>
        </w:tc>
        <w:tc>
          <w:tcPr>
            <w:tcW w:w="1333"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29"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05"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530"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50"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530"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308"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33"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529"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05"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530" w:type="dxa"/>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350"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246.81</w:t>
            </w:r>
          </w:p>
        </w:tc>
        <w:tc>
          <w:tcPr>
            <w:tcW w:w="130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152.48</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94.34</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科学技术支出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215.21</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120.88</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94.34</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20603</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应用研究</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213.17</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120.88</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92.29</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2060301</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机构运行</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120.88</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120.88</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2060302</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社会公益研究</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92.29</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92.29</w:t>
            </w:r>
          </w:p>
        </w:tc>
        <w:tc>
          <w:tcPr>
            <w:tcW w:w="1529"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20604</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技术研究与开发</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2.04</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2.04</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2060499</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其他技术研究与开发支出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2.04</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val="0"/>
                <w:bCs/>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2.04</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val="0"/>
                <w:bCs/>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208</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2"/>
                <w:sz w:val="20"/>
                <w:szCs w:val="20"/>
                <w:u w:val="none"/>
                <w:lang w:val="en-US" w:eastAsia="zh-CN" w:bidi="ar-SA"/>
              </w:rPr>
            </w:pPr>
            <w:r>
              <w:rPr>
                <w:rFonts w:hint="eastAsia" w:ascii="宋体" w:hAnsi="宋体" w:eastAsia="宋体" w:cs="宋体"/>
                <w:b/>
                <w:bCs/>
                <w:i w:val="0"/>
                <w:color w:val="000000"/>
                <w:kern w:val="0"/>
                <w:sz w:val="20"/>
                <w:szCs w:val="20"/>
                <w:u w:val="none"/>
                <w:lang w:val="en-US" w:eastAsia="zh-CN" w:bidi="ar"/>
              </w:rPr>
              <w:t>社会保障和就业支出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20805</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color w:val="000000"/>
                <w:kern w:val="2"/>
                <w:sz w:val="20"/>
                <w:szCs w:val="20"/>
                <w:u w:val="none"/>
                <w:lang w:val="en-US" w:eastAsia="zh-CN" w:bidi="ar-SA"/>
              </w:rPr>
            </w:pPr>
            <w:r>
              <w:rPr>
                <w:rFonts w:hint="eastAsia" w:ascii="宋体" w:hAnsi="宋体" w:eastAsia="宋体" w:cs="宋体"/>
                <w:b/>
                <w:bCs/>
                <w:i w:val="0"/>
                <w:color w:val="000000"/>
                <w:kern w:val="0"/>
                <w:sz w:val="20"/>
                <w:szCs w:val="20"/>
                <w:u w:val="none"/>
                <w:lang w:val="en-US" w:eastAsia="zh-CN" w:bidi="ar"/>
              </w:rPr>
              <w:t>行政事业单位养老支出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2080505</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i w:val="0"/>
                <w:color w:val="000000"/>
                <w:kern w:val="2"/>
                <w:sz w:val="20"/>
                <w:szCs w:val="20"/>
                <w:u w:val="none"/>
                <w:lang w:val="en-US" w:eastAsia="zh-CN" w:bidi="ar-SA"/>
              </w:rPr>
            </w:pPr>
            <w:r>
              <w:rPr>
                <w:rFonts w:hint="eastAsia" w:ascii="宋体" w:hAnsi="宋体" w:eastAsia="宋体" w:cs="宋体"/>
                <w:b w:val="0"/>
                <w:bCs/>
                <w:i w:val="0"/>
                <w:color w:val="000000"/>
                <w:kern w:val="0"/>
                <w:sz w:val="20"/>
                <w:szCs w:val="20"/>
                <w:u w:val="none"/>
                <w:lang w:val="en-US" w:eastAsia="zh-CN" w:bidi="ar"/>
              </w:rPr>
              <w:t xml:space="preserve">  机关事业单位基本养老保险缴费支出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12.00</w:t>
            </w:r>
          </w:p>
        </w:tc>
        <w:tc>
          <w:tcPr>
            <w:tcW w:w="130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12.00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221</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住房保障支出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19.60</w:t>
            </w:r>
          </w:p>
        </w:tc>
        <w:tc>
          <w:tcPr>
            <w:tcW w:w="130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19.60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22102</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住房改革支出</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130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b/>
                <w:bCs/>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2210201</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住房公积金</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1308"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216"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2210203</w:t>
            </w:r>
          </w:p>
        </w:tc>
        <w:tc>
          <w:tcPr>
            <w:tcW w:w="5134"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购房补贴</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7.60</w:t>
            </w:r>
          </w:p>
        </w:tc>
        <w:tc>
          <w:tcPr>
            <w:tcW w:w="1308"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7.60</w:t>
            </w:r>
          </w:p>
        </w:tc>
        <w:tc>
          <w:tcPr>
            <w:tcW w:w="13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2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305"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3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bl>
    <w:p>
      <w:pPr>
        <w:jc w:val="left"/>
        <w:rPr>
          <w:rFonts w:hint="eastAsia" w:ascii="华文中宋" w:hAnsi="华文中宋" w:eastAsia="华文中宋" w:cs="宋体"/>
          <w:color w:val="000000"/>
          <w:kern w:val="0"/>
          <w:sz w:val="20"/>
          <w:szCs w:val="20"/>
        </w:rPr>
        <w:sectPr>
          <w:pgSz w:w="16838" w:h="11906" w:orient="landscape"/>
          <w:pgMar w:top="1440" w:right="1803" w:bottom="1440" w:left="1803" w:header="851" w:footer="992" w:gutter="0"/>
          <w:cols w:space="425" w:num="1"/>
          <w:docGrid w:type="linesAndChars" w:linePitch="312" w:charSpace="0"/>
        </w:sectPr>
      </w:pPr>
      <w:r>
        <w:rPr>
          <w:rFonts w:hint="eastAsia" w:ascii="宋体" w:hAnsi="宋体" w:eastAsia="宋体" w:cs="宋体"/>
          <w:kern w:val="0"/>
          <w:sz w:val="24"/>
          <w:szCs w:val="24"/>
        </w:rPr>
        <w:t>注：本表反映部门本年度各项支出情况。</w:t>
      </w:r>
    </w:p>
    <w:p>
      <w:pPr>
        <w:widowControl/>
        <w:ind w:left="93"/>
        <w:jc w:val="center"/>
        <w:rPr>
          <w:rFonts w:ascii="Times New Roman" w:hAnsi="Times New Roman" w:eastAsia="方正小标宋_GBK" w:cs="Times New Roman"/>
          <w:color w:val="000000"/>
          <w:kern w:val="0"/>
          <w:sz w:val="36"/>
          <w:szCs w:val="21"/>
        </w:rPr>
      </w:pPr>
      <w:r>
        <w:rPr>
          <w:rFonts w:hint="eastAsia" w:ascii="华文中宋" w:hAnsi="华文中宋" w:eastAsia="华文中宋" w:cs="宋体"/>
          <w:color w:val="000000"/>
          <w:kern w:val="0"/>
          <w:sz w:val="32"/>
          <w:szCs w:val="32"/>
        </w:rPr>
        <w:t>财政拨款收入支出决算总表</w:t>
      </w:r>
    </w:p>
    <w:p>
      <w:pPr>
        <w:jc w:val="righ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公开0</w:t>
      </w:r>
      <w:r>
        <w:rPr>
          <w:rFonts w:hint="eastAsia" w:ascii="仿宋_GB2312" w:hAnsi="仿宋_GB2312" w:eastAsia="仿宋_GB2312" w:cs="仿宋_GB2312"/>
          <w:color w:val="000000"/>
          <w:kern w:val="0"/>
          <w:sz w:val="21"/>
          <w:szCs w:val="21"/>
          <w:lang w:val="en-US" w:eastAsia="zh-CN"/>
        </w:rPr>
        <w:t>4</w:t>
      </w:r>
      <w:r>
        <w:rPr>
          <w:rFonts w:hint="eastAsia" w:ascii="仿宋_GB2312" w:hAnsi="仿宋_GB2312" w:eastAsia="仿宋_GB2312" w:cs="仿宋_GB2312"/>
          <w:color w:val="000000"/>
          <w:kern w:val="0"/>
          <w:sz w:val="21"/>
          <w:szCs w:val="21"/>
        </w:rPr>
        <w:t>表</w:t>
      </w:r>
    </w:p>
    <w:p>
      <w:pPr>
        <w:jc w:val="center"/>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部门：</w:t>
      </w:r>
      <w:r>
        <w:rPr>
          <w:rFonts w:hint="eastAsia" w:ascii="仿宋_GB2312" w:hAnsi="仿宋_GB2312" w:eastAsia="仿宋_GB2312" w:cs="仿宋_GB2312"/>
          <w:color w:val="000000"/>
          <w:kern w:val="0"/>
          <w:sz w:val="21"/>
          <w:szCs w:val="21"/>
          <w:lang w:eastAsia="zh-CN"/>
        </w:rPr>
        <w:t>湖南省对外科技交流中心</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单位：万元</w:t>
      </w:r>
    </w:p>
    <w:tbl>
      <w:tblPr>
        <w:tblStyle w:val="7"/>
        <w:tblpPr w:leftFromText="180" w:rightFromText="180" w:vertAnchor="text" w:horzAnchor="page" w:tblpX="1049" w:tblpY="313"/>
        <w:tblOverlap w:val="never"/>
        <w:tblW w:w="147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967"/>
        <w:gridCol w:w="569"/>
        <w:gridCol w:w="1450"/>
        <w:gridCol w:w="3497"/>
        <w:gridCol w:w="550"/>
        <w:gridCol w:w="1291"/>
        <w:gridCol w:w="1571"/>
        <w:gridCol w:w="1434"/>
        <w:gridCol w:w="14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00" w:hRule="atLeast"/>
        </w:trPr>
        <w:tc>
          <w:tcPr>
            <w:tcW w:w="4986" w:type="dxa"/>
            <w:gridSpan w:val="3"/>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     入</w:t>
            </w:r>
          </w:p>
        </w:tc>
        <w:tc>
          <w:tcPr>
            <w:tcW w:w="9749" w:type="dxa"/>
            <w:gridSpan w:val="6"/>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967"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56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4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w:t>
            </w:r>
          </w:p>
        </w:tc>
        <w:tc>
          <w:tcPr>
            <w:tcW w:w="3497" w:type="dxa"/>
            <w:vMerge w:val="restart"/>
            <w:tcBorders>
              <w:top w:val="nil"/>
              <w:left w:val="nil"/>
              <w:bottom w:val="single" w:color="000000" w:sz="4" w:space="0"/>
              <w:right w:val="single" w:color="000000" w:sz="4" w:space="0"/>
            </w:tcBorders>
            <w:shd w:val="clear" w:color="auto" w:fill="auto"/>
            <w:vAlign w:val="bottom"/>
          </w:tcPr>
          <w:p>
            <w:pPr>
              <w:keepNext w:val="0"/>
              <w:keepLines w:val="0"/>
              <w:widowControl/>
              <w:suppressLineNumbers w:val="0"/>
              <w:jc w:val="both"/>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5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行次</w:t>
            </w:r>
          </w:p>
        </w:tc>
        <w:tc>
          <w:tcPr>
            <w:tcW w:w="1291"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57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一般公共预算财政拨款</w:t>
            </w:r>
          </w:p>
        </w:tc>
        <w:tc>
          <w:tcPr>
            <w:tcW w:w="1434"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政府性基金预算财政拨款</w:t>
            </w:r>
          </w:p>
        </w:tc>
        <w:tc>
          <w:tcPr>
            <w:tcW w:w="140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967" w:type="dxa"/>
            <w:vMerge w:val="continue"/>
            <w:tcBorders>
              <w:top w:val="nil"/>
              <w:left w:val="single" w:color="000000" w:sz="4" w:space="0"/>
              <w:bottom w:val="single" w:color="000000" w:sz="4" w:space="0"/>
              <w:right w:val="single" w:color="000000" w:sz="4" w:space="0"/>
            </w:tcBorders>
            <w:shd w:val="clear" w:color="auto" w:fill="auto"/>
            <w:vAlign w:val="center"/>
          </w:tcPr>
          <w:p>
            <w:pPr>
              <w:jc w:val="both"/>
              <w:rPr>
                <w:rFonts w:hint="eastAsia" w:ascii="宋体" w:hAnsi="宋体" w:eastAsia="宋体" w:cs="宋体"/>
                <w:i w:val="0"/>
                <w:color w:val="000000"/>
                <w:sz w:val="20"/>
                <w:szCs w:val="20"/>
                <w:u w:val="none"/>
              </w:rPr>
            </w:pPr>
          </w:p>
        </w:tc>
        <w:tc>
          <w:tcPr>
            <w:tcW w:w="569"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3497" w:type="dxa"/>
            <w:vMerge w:val="continue"/>
            <w:tcBorders>
              <w:top w:val="nil"/>
              <w:left w:val="nil"/>
              <w:bottom w:val="single" w:color="000000" w:sz="4" w:space="0"/>
              <w:right w:val="single" w:color="000000" w:sz="4" w:space="0"/>
            </w:tcBorders>
            <w:shd w:val="clear" w:color="auto" w:fill="auto"/>
            <w:vAlign w:val="bottom"/>
          </w:tcPr>
          <w:p>
            <w:pPr>
              <w:jc w:val="both"/>
              <w:rPr>
                <w:rFonts w:hint="eastAsia" w:ascii="宋体" w:hAnsi="宋体" w:eastAsia="宋体" w:cs="宋体"/>
                <w:i w:val="0"/>
                <w:color w:val="000000"/>
                <w:sz w:val="20"/>
                <w:szCs w:val="20"/>
                <w:u w:val="none"/>
              </w:rPr>
            </w:pPr>
          </w:p>
        </w:tc>
        <w:tc>
          <w:tcPr>
            <w:tcW w:w="5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291"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157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34"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06"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569"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3497" w:type="dxa"/>
            <w:tcBorders>
              <w:top w:val="nil"/>
              <w:left w:val="nil"/>
              <w:bottom w:val="single" w:color="000000" w:sz="4" w:space="0"/>
              <w:right w:val="single" w:color="000000" w:sz="4" w:space="0"/>
            </w:tcBorders>
            <w:shd w:val="clear" w:color="auto" w:fill="auto"/>
            <w:noWrap/>
            <w:vAlign w:val="bottom"/>
          </w:tcPr>
          <w:p>
            <w:pPr>
              <w:keepNext w:val="0"/>
              <w:keepLines w:val="0"/>
              <w:widowControl/>
              <w:suppressLineNumbers w:val="0"/>
              <w:jc w:val="both"/>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550" w:type="dxa"/>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40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一、一般公共预算财政拨款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201.88</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33</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二、政府性基金预算财政拨款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三、国有资本经营财政拨款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36</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37</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135.16</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135.16</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7</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39</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40</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九、卫生健康支出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41</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十、节能环保支出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42</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11</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十一、城乡社区支出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43</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12</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十二、农林水支出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13</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十三、交通运输支出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14</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十四、资源勘探工业信息等支出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十五、商业服务业等支出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16</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十六、金融支出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17</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十七、援助其他地区支出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w:t>
            </w:r>
          </w:p>
        </w:tc>
        <w:tc>
          <w:tcPr>
            <w:tcW w:w="1450" w:type="dxa"/>
            <w:tcBorders>
              <w:top w:val="nil"/>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十八、自然资源海洋气象等支出</w:t>
            </w:r>
          </w:p>
        </w:tc>
        <w:tc>
          <w:tcPr>
            <w:tcW w:w="550"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1291"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single" w:color="auto" w:sz="4" w:space="0"/>
              <w:left w:val="single" w:color="000000" w:sz="4" w:space="0"/>
              <w:bottom w:val="single" w:color="auto"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19</w:t>
            </w:r>
          </w:p>
        </w:tc>
        <w:tc>
          <w:tcPr>
            <w:tcW w:w="1450" w:type="dxa"/>
            <w:tcBorders>
              <w:top w:val="single" w:color="auto" w:sz="4" w:space="0"/>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十九、住房保障支出</w:t>
            </w:r>
          </w:p>
        </w:tc>
        <w:tc>
          <w:tcPr>
            <w:tcW w:w="550"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1291"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19.60</w:t>
            </w:r>
          </w:p>
        </w:tc>
        <w:tc>
          <w:tcPr>
            <w:tcW w:w="1571" w:type="dxa"/>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19.60</w:t>
            </w:r>
          </w:p>
        </w:tc>
        <w:tc>
          <w:tcPr>
            <w:tcW w:w="1434" w:type="dxa"/>
            <w:tcBorders>
              <w:top w:val="single" w:color="auto" w:sz="4" w:space="0"/>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single" w:color="auto" w:sz="4" w:space="0"/>
              <w:left w:val="nil"/>
              <w:bottom w:val="single" w:color="auto"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w:t>
            </w:r>
          </w:p>
        </w:tc>
        <w:tc>
          <w:tcPr>
            <w:tcW w:w="1450"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二十、粮油物资储备支出</w:t>
            </w:r>
          </w:p>
        </w:tc>
        <w:tc>
          <w:tcPr>
            <w:tcW w:w="550" w:type="dxa"/>
            <w:tcBorders>
              <w:top w:val="single" w:color="auto" w:sz="4" w:space="0"/>
              <w:left w:val="nil"/>
              <w:bottom w:val="single" w:color="000000"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1291" w:type="dxa"/>
            <w:tcBorders>
              <w:top w:val="single" w:color="auto" w:sz="4" w:space="0"/>
              <w:left w:val="single" w:color="auto"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single" w:color="auto" w:sz="4" w:space="0"/>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二十一、国有资本经营预算支出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二十二、灾害防治及应急管理支出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23</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二十三、其他支出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二十四、债务还本支出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二十五、债务付息支出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57</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二十六、抗疫特别国债安排的支出</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58</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本年收入合计</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27</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201.88</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本年支出合计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59</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166.76</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166.76</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年初财政拨款结转和结余</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69.76</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年末财政拨款结转和结余</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60</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104.88</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104.88</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一般公共预算财政拨款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29</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69.76</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61</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政府性基金预算财政拨款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30</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62</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国有资本经营预算财政拨款</w:t>
            </w:r>
          </w:p>
        </w:tc>
        <w:tc>
          <w:tcPr>
            <w:tcW w:w="5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w:t>
            </w:r>
          </w:p>
        </w:tc>
        <w:tc>
          <w:tcPr>
            <w:tcW w:w="14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3497"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63</w:t>
            </w:r>
          </w:p>
        </w:tc>
        <w:tc>
          <w:tcPr>
            <w:tcW w:w="129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57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34"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2967"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69" w:type="dxa"/>
            <w:tcBorders>
              <w:top w:val="nil"/>
              <w:left w:val="nil"/>
              <w:bottom w:val="single" w:color="000000" w:sz="12"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w:t>
            </w:r>
          </w:p>
        </w:tc>
        <w:tc>
          <w:tcPr>
            <w:tcW w:w="14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271.64</w:t>
            </w:r>
          </w:p>
        </w:tc>
        <w:tc>
          <w:tcPr>
            <w:tcW w:w="349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i w:val="0"/>
                <w:color w:val="000000"/>
                <w:sz w:val="20"/>
                <w:szCs w:val="20"/>
                <w:u w:val="none"/>
              </w:rPr>
            </w:pPr>
            <w:r>
              <w:rPr>
                <w:rFonts w:hint="eastAsia" w:ascii="宋体" w:hAnsi="宋体" w:eastAsia="宋体" w:cs="宋体"/>
                <w:b/>
                <w:i w:val="0"/>
                <w:color w:val="000000"/>
                <w:kern w:val="0"/>
                <w:sz w:val="20"/>
                <w:szCs w:val="20"/>
                <w:u w:val="none"/>
                <w:lang w:val="en-US" w:eastAsia="zh-CN" w:bidi="ar"/>
              </w:rPr>
              <w:t>总计</w:t>
            </w:r>
          </w:p>
        </w:tc>
        <w:tc>
          <w:tcPr>
            <w:tcW w:w="5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64</w:t>
            </w:r>
          </w:p>
        </w:tc>
        <w:tc>
          <w:tcPr>
            <w:tcW w:w="129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271.64</w:t>
            </w:r>
          </w:p>
        </w:tc>
        <w:tc>
          <w:tcPr>
            <w:tcW w:w="157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271.64</w:t>
            </w:r>
          </w:p>
        </w:tc>
        <w:tc>
          <w:tcPr>
            <w:tcW w:w="1434"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1406"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bl>
    <w:p>
      <w:pPr>
        <w:jc w:val="center"/>
        <w:rPr>
          <w:rFonts w:hint="eastAsia" w:ascii="宋体" w:hAnsi="宋体" w:eastAsia="宋体" w:cs="宋体"/>
          <w:color w:val="000000"/>
          <w:kern w:val="0"/>
          <w:sz w:val="20"/>
          <w:szCs w:val="20"/>
        </w:rPr>
      </w:pPr>
    </w:p>
    <w:p>
      <w:pPr>
        <w:jc w:val="left"/>
        <w:rPr>
          <w:rFonts w:hint="eastAsia" w:ascii="宋体" w:hAnsi="宋体" w:eastAsia="宋体" w:cs="宋体"/>
          <w:color w:val="000000"/>
          <w:kern w:val="0"/>
          <w:sz w:val="20"/>
          <w:szCs w:val="20"/>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jc w:val="center"/>
        <w:rPr>
          <w:rFonts w:ascii="Times New Roman" w:hAnsi="Times New Roman" w:eastAsia="方正小标宋_GBK" w:cs="Times New Roman"/>
          <w:kern w:val="0"/>
          <w:sz w:val="36"/>
          <w:szCs w:val="36"/>
        </w:rPr>
      </w:pPr>
      <w:bookmarkStart w:id="0" w:name="RANGE!A1:I22"/>
      <w:bookmarkEnd w:id="0"/>
      <w:bookmarkStart w:id="1" w:name="RANGE!A1:F16"/>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2"/>
          <w:szCs w:val="32"/>
        </w:rPr>
      </w:pPr>
      <w:r>
        <w:rPr>
          <w:rFonts w:ascii="Times New Roman" w:hAnsi="Times New Roman" w:eastAsia="方正小标宋_GBK" w:cs="Times New Roman"/>
          <w:kern w:val="0"/>
          <w:sz w:val="32"/>
          <w:szCs w:val="32"/>
        </w:rPr>
        <w:t>一般公共预算财政拨款支出决算表</w:t>
      </w:r>
      <w:bookmarkEnd w:id="1"/>
    </w:p>
    <w:p>
      <w:pPr>
        <w:widowControl/>
        <w:spacing w:before="156" w:beforeLines="50"/>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部门： 湖南省</w:t>
      </w:r>
      <w:r>
        <w:rPr>
          <w:rFonts w:hint="eastAsia" w:ascii="仿宋_GB2312" w:hAnsi="仿宋_GB2312" w:eastAsia="仿宋_GB2312" w:cs="仿宋_GB2312"/>
          <w:color w:val="000000"/>
          <w:kern w:val="0"/>
          <w:sz w:val="21"/>
          <w:szCs w:val="21"/>
          <w:lang w:eastAsia="zh-CN"/>
        </w:rPr>
        <w:t>对外科技交流中心</w:t>
      </w: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 xml:space="preserve"> 公开05表</w:t>
      </w:r>
    </w:p>
    <w:p>
      <w:pPr>
        <w:widowControl/>
        <w:jc w:val="left"/>
        <w:rPr>
          <w:rFonts w:hint="eastAsia" w:ascii="仿宋_GB2312" w:hAnsi="仿宋_GB2312" w:eastAsia="仿宋_GB2312" w:cs="仿宋_GB2312"/>
          <w:color w:val="000000"/>
          <w:kern w:val="0"/>
          <w:sz w:val="21"/>
          <w:szCs w:val="21"/>
        </w:rPr>
      </w:pPr>
      <w:r>
        <w:rPr>
          <w:rFonts w:hint="eastAsia" w:ascii="仿宋_GB2312" w:hAnsi="仿宋_GB2312" w:eastAsia="仿宋_GB2312" w:cs="仿宋_GB2312"/>
          <w:color w:val="000000"/>
          <w:kern w:val="0"/>
          <w:sz w:val="21"/>
          <w:szCs w:val="21"/>
        </w:rPr>
        <w:t xml:space="preserve">                                                                                                                   单位：万元</w:t>
      </w:r>
    </w:p>
    <w:tbl>
      <w:tblPr>
        <w:tblStyle w:val="7"/>
        <w:tblW w:w="1346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81"/>
        <w:gridCol w:w="5476"/>
        <w:gridCol w:w="2440"/>
        <w:gridCol w:w="2250"/>
        <w:gridCol w:w="21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657"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6807" w:type="dxa"/>
            <w:gridSpan w:val="3"/>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5476"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244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2250"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2117"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1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47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244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2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11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181"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476"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244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250"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117"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65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2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657"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166.76</w:t>
            </w:r>
          </w:p>
        </w:tc>
        <w:tc>
          <w:tcPr>
            <w:tcW w:w="22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138.57</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w:t>
            </w:r>
          </w:p>
        </w:tc>
        <w:tc>
          <w:tcPr>
            <w:tcW w:w="5476"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科学技术支出</w:t>
            </w:r>
          </w:p>
        </w:tc>
        <w:tc>
          <w:tcPr>
            <w:tcW w:w="244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135.16</w:t>
            </w:r>
          </w:p>
        </w:tc>
        <w:tc>
          <w:tcPr>
            <w:tcW w:w="225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106.97</w:t>
            </w:r>
          </w:p>
        </w:tc>
        <w:tc>
          <w:tcPr>
            <w:tcW w:w="2117"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28.19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应用研究</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133.12</w:t>
            </w:r>
          </w:p>
        </w:tc>
        <w:tc>
          <w:tcPr>
            <w:tcW w:w="22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106.97</w:t>
            </w:r>
          </w:p>
        </w:tc>
        <w:tc>
          <w:tcPr>
            <w:tcW w:w="2117"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2060301</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机构运行</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106.97</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106.97</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2060302</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社会公益研究</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26.14</w:t>
            </w:r>
          </w:p>
        </w:tc>
        <w:tc>
          <w:tcPr>
            <w:tcW w:w="225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26.14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20604</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技术研究与开发</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2.04</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7"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2060499</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其他技术研究与开发支出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2.04</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20607</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科学技术普及</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val="0"/>
                <w:bCs w:val="0"/>
                <w:i w:val="0"/>
                <w:color w:val="000000"/>
                <w:sz w:val="20"/>
                <w:szCs w:val="20"/>
                <w:u w:val="none"/>
                <w:lang w:val="en-US" w:eastAsia="zh-CN"/>
              </w:rPr>
            </w:pPr>
            <w:r>
              <w:rPr>
                <w:rFonts w:hint="eastAsia" w:ascii="宋体" w:hAnsi="宋体" w:eastAsia="宋体" w:cs="宋体"/>
                <w:b w:val="0"/>
                <w:bCs w:val="0"/>
                <w:i w:val="0"/>
                <w:color w:val="000000"/>
                <w:sz w:val="20"/>
                <w:szCs w:val="20"/>
                <w:u w:val="none"/>
                <w:lang w:val="en-US" w:eastAsia="zh-CN"/>
              </w:rPr>
              <w:t>2060799</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0"/>
                <w:sz w:val="20"/>
                <w:szCs w:val="20"/>
                <w:u w:val="none"/>
                <w:lang w:val="en-US" w:eastAsia="zh-CN" w:bidi="ar"/>
              </w:rPr>
            </w:pPr>
            <w:r>
              <w:rPr>
                <w:rFonts w:hint="eastAsia" w:ascii="宋体" w:hAnsi="宋体" w:eastAsia="宋体" w:cs="宋体"/>
                <w:b w:val="0"/>
                <w:bCs w:val="0"/>
                <w:i w:val="0"/>
                <w:color w:val="000000"/>
                <w:kern w:val="0"/>
                <w:sz w:val="20"/>
                <w:szCs w:val="20"/>
                <w:u w:val="none"/>
                <w:lang w:val="en-US" w:eastAsia="zh-CN" w:bidi="ar"/>
              </w:rPr>
              <w:t>其他科学技术普及支出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20609</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i w:val="0"/>
                <w:color w:val="000000"/>
                <w:kern w:val="0"/>
                <w:sz w:val="20"/>
                <w:szCs w:val="20"/>
                <w:u w:val="none"/>
                <w:lang w:val="en-US" w:eastAsia="zh-CN" w:bidi="ar"/>
              </w:rPr>
              <w:t>科技重大项目</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2060999</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0"/>
                <w:sz w:val="20"/>
                <w:szCs w:val="20"/>
                <w:u w:val="none"/>
                <w:lang w:val="en-US" w:eastAsia="zh-CN" w:bidi="ar"/>
              </w:rPr>
            </w:pPr>
            <w:r>
              <w:rPr>
                <w:rFonts w:hint="eastAsia" w:ascii="宋体" w:hAnsi="宋体" w:eastAsia="宋体" w:cs="宋体"/>
                <w:b w:val="0"/>
                <w:bCs/>
                <w:i w:val="0"/>
                <w:color w:val="000000"/>
                <w:kern w:val="0"/>
                <w:sz w:val="20"/>
                <w:szCs w:val="20"/>
                <w:u w:val="none"/>
                <w:lang w:val="en-US" w:eastAsia="zh-CN" w:bidi="ar"/>
              </w:rPr>
              <w:t>其他科技重大项目</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0.00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208</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社会保障和就业支出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12.00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20805</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行政事业单位养老支出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val="0"/>
                <w:i w:val="0"/>
                <w:color w:val="000000"/>
                <w:sz w:val="20"/>
                <w:szCs w:val="20"/>
                <w:u w:val="none"/>
                <w:lang w:val="en-US" w:eastAsia="zh-CN"/>
              </w:rPr>
            </w:pPr>
            <w:r>
              <w:rPr>
                <w:rFonts w:hint="eastAsia" w:ascii="宋体" w:hAnsi="宋体" w:eastAsia="宋体" w:cs="宋体"/>
                <w:b/>
                <w:bCs w:val="0"/>
                <w:i w:val="0"/>
                <w:color w:val="000000"/>
                <w:sz w:val="20"/>
                <w:szCs w:val="20"/>
                <w:u w:val="none"/>
                <w:lang w:val="en-US" w:eastAsia="zh-CN"/>
              </w:rPr>
              <w:t>12.00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val="0"/>
                <w:i w:val="0"/>
                <w:color w:val="000000"/>
                <w:sz w:val="20"/>
                <w:szCs w:val="20"/>
                <w:u w:val="none"/>
                <w:lang w:val="en-US" w:eastAsia="zh-CN"/>
              </w:rPr>
            </w:pPr>
            <w:r>
              <w:rPr>
                <w:rFonts w:hint="eastAsia" w:ascii="宋体" w:hAnsi="宋体" w:eastAsia="宋体" w:cs="宋体"/>
                <w:b/>
                <w:bCs w:val="0"/>
                <w:i w:val="0"/>
                <w:color w:val="000000"/>
                <w:sz w:val="20"/>
                <w:szCs w:val="20"/>
                <w:u w:val="none"/>
                <w:lang w:val="en-US" w:eastAsia="zh-CN"/>
              </w:rPr>
              <w:t>12.00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2080505</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机关事业单位基本养老保险缴费支出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12.00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221</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住房保障支出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22102</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kern w:val="2"/>
                <w:sz w:val="20"/>
                <w:szCs w:val="20"/>
                <w:u w:val="none"/>
                <w:lang w:val="en-US" w:eastAsia="zh-CN" w:bidi="ar-SA"/>
              </w:rPr>
            </w:pPr>
            <w:r>
              <w:rPr>
                <w:rFonts w:hint="eastAsia" w:ascii="宋体" w:hAnsi="宋体" w:eastAsia="宋体" w:cs="宋体"/>
                <w:b/>
                <w:i w:val="0"/>
                <w:color w:val="000000"/>
                <w:kern w:val="0"/>
                <w:sz w:val="20"/>
                <w:szCs w:val="20"/>
                <w:u w:val="none"/>
                <w:lang w:val="en-US" w:eastAsia="zh-CN" w:bidi="ar"/>
              </w:rPr>
              <w:t>住房改革支出</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bCs/>
                <w:i w:val="0"/>
                <w:color w:val="000000"/>
                <w:sz w:val="20"/>
                <w:szCs w:val="20"/>
                <w:u w:val="none"/>
                <w:lang w:val="en-US" w:eastAsia="zh-CN"/>
              </w:rPr>
            </w:pPr>
            <w:r>
              <w:rPr>
                <w:rFonts w:hint="eastAsia" w:ascii="宋体" w:hAnsi="宋体" w:eastAsia="宋体" w:cs="宋体"/>
                <w:b/>
                <w:bCs/>
                <w:i w:val="0"/>
                <w:color w:val="000000"/>
                <w:sz w:val="20"/>
                <w:szCs w:val="20"/>
                <w:u w:val="none"/>
                <w:lang w:val="en-US" w:eastAsia="zh-CN"/>
              </w:rPr>
              <w:t>19.60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1" w:type="dxa"/>
            <w:tcBorders>
              <w:top w:val="nil"/>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2210201</w:t>
            </w:r>
          </w:p>
        </w:tc>
        <w:tc>
          <w:tcPr>
            <w:tcW w:w="5476" w:type="dxa"/>
            <w:tcBorders>
              <w:top w:val="nil"/>
              <w:left w:val="nil"/>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住房公积金</w:t>
            </w:r>
          </w:p>
        </w:tc>
        <w:tc>
          <w:tcPr>
            <w:tcW w:w="2440" w:type="dxa"/>
            <w:tcBorders>
              <w:top w:val="nil"/>
              <w:left w:val="nil"/>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12.00</w:t>
            </w:r>
          </w:p>
        </w:tc>
        <w:tc>
          <w:tcPr>
            <w:tcW w:w="2250" w:type="dxa"/>
            <w:tcBorders>
              <w:top w:val="nil"/>
              <w:left w:val="nil"/>
              <w:bottom w:val="nil"/>
              <w:right w:val="single" w:color="000000" w:sz="4" w:space="0"/>
            </w:tcBorders>
            <w:shd w:val="clear" w:color="auto" w:fill="auto"/>
            <w:noWrap/>
            <w:vAlign w:val="center"/>
          </w:tcPr>
          <w:p>
            <w:pPr>
              <w:jc w:val="right"/>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12.00</w:t>
            </w:r>
          </w:p>
        </w:tc>
        <w:tc>
          <w:tcPr>
            <w:tcW w:w="2117" w:type="dxa"/>
            <w:tcBorders>
              <w:top w:val="nil"/>
              <w:left w:val="nil"/>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1181"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宋体" w:hAnsi="宋体" w:eastAsia="宋体" w:cs="宋体"/>
                <w:b/>
                <w:i w:val="0"/>
                <w:color w:val="000000"/>
                <w:sz w:val="20"/>
                <w:szCs w:val="20"/>
                <w:u w:val="none"/>
                <w:lang w:val="en-US" w:eastAsia="zh-CN"/>
              </w:rPr>
            </w:pPr>
            <w:r>
              <w:rPr>
                <w:rFonts w:hint="eastAsia" w:ascii="宋体" w:hAnsi="宋体" w:eastAsia="宋体" w:cs="宋体"/>
                <w:b/>
                <w:i w:val="0"/>
                <w:color w:val="000000"/>
                <w:sz w:val="20"/>
                <w:szCs w:val="20"/>
                <w:u w:val="none"/>
                <w:lang w:val="en-US" w:eastAsia="zh-CN"/>
              </w:rPr>
              <w:t>2210203</w:t>
            </w:r>
          </w:p>
        </w:tc>
        <w:tc>
          <w:tcPr>
            <w:tcW w:w="5476"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 xml:space="preserve">  购房补贴</w:t>
            </w:r>
          </w:p>
        </w:tc>
        <w:tc>
          <w:tcPr>
            <w:tcW w:w="244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7.60</w:t>
            </w:r>
          </w:p>
        </w:tc>
        <w:tc>
          <w:tcPr>
            <w:tcW w:w="2250" w:type="dxa"/>
            <w:tcBorders>
              <w:top w:val="nil"/>
              <w:left w:val="nil"/>
              <w:bottom w:val="single" w:color="000000" w:sz="4" w:space="0"/>
              <w:right w:val="single" w:color="000000" w:sz="4" w:space="0"/>
            </w:tcBorders>
            <w:shd w:val="clear" w:color="auto" w:fill="auto"/>
            <w:noWrap/>
            <w:vAlign w:val="center"/>
          </w:tcPr>
          <w:p>
            <w:pPr>
              <w:jc w:val="right"/>
              <w:rPr>
                <w:rFonts w:hint="default" w:ascii="宋体" w:hAnsi="宋体" w:eastAsia="宋体" w:cs="宋体"/>
                <w:b w:val="0"/>
                <w:bCs/>
                <w:i w:val="0"/>
                <w:color w:val="000000"/>
                <w:sz w:val="20"/>
                <w:szCs w:val="20"/>
                <w:u w:val="none"/>
                <w:lang w:val="en-US" w:eastAsia="zh-CN"/>
              </w:rPr>
            </w:pPr>
            <w:r>
              <w:rPr>
                <w:rFonts w:hint="eastAsia" w:ascii="宋体" w:hAnsi="宋体" w:eastAsia="宋体" w:cs="宋体"/>
                <w:b w:val="0"/>
                <w:bCs/>
                <w:i w:val="0"/>
                <w:color w:val="000000"/>
                <w:sz w:val="20"/>
                <w:szCs w:val="20"/>
                <w:u w:val="none"/>
                <w:lang w:val="en-US" w:eastAsia="zh-CN"/>
              </w:rPr>
              <w:t>7.60</w:t>
            </w:r>
          </w:p>
        </w:tc>
        <w:tc>
          <w:tcPr>
            <w:tcW w:w="2117"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r>
              <w:rPr>
                <w:rFonts w:hint="eastAsia" w:ascii="宋体" w:hAnsi="宋体" w:eastAsia="宋体" w:cs="宋体"/>
                <w:i w:val="0"/>
                <w:color w:val="000000"/>
                <w:sz w:val="20"/>
                <w:szCs w:val="20"/>
                <w:u w:val="none"/>
                <w:lang w:val="en-US" w:eastAsia="zh-CN"/>
              </w:rPr>
              <w:t>0.00</w:t>
            </w:r>
          </w:p>
        </w:tc>
      </w:tr>
    </w:tbl>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注：本表反映部门本年度一般公共预算财政拨款支出情况。</w:t>
      </w:r>
    </w:p>
    <w:p>
      <w:pPr>
        <w:widowControl/>
        <w:jc w:val="center"/>
        <w:rPr>
          <w:rFonts w:hint="eastAsia" w:ascii="华文中宋" w:hAnsi="华文中宋" w:eastAsia="华文中宋" w:cs="宋体"/>
          <w:color w:val="000000"/>
          <w:kern w:val="0"/>
          <w:sz w:val="32"/>
          <w:szCs w:val="32"/>
        </w:rPr>
        <w:sectPr>
          <w:pgSz w:w="16838" w:h="11906" w:orient="landscape"/>
          <w:pgMar w:top="1497" w:right="1803" w:bottom="1440" w:left="1803" w:header="851" w:footer="992" w:gutter="0"/>
          <w:cols w:space="425" w:num="1"/>
          <w:docGrid w:type="lines" w:linePitch="312" w:charSpace="0"/>
        </w:sectPr>
      </w:pPr>
    </w:p>
    <w:tbl>
      <w:tblPr>
        <w:tblStyle w:val="7"/>
        <w:tblW w:w="15017" w:type="dxa"/>
        <w:tblInd w:w="-793" w:type="dxa"/>
        <w:tblLayout w:type="fixed"/>
        <w:tblCellMar>
          <w:top w:w="0" w:type="dxa"/>
          <w:left w:w="108" w:type="dxa"/>
          <w:bottom w:w="0" w:type="dxa"/>
          <w:right w:w="108" w:type="dxa"/>
        </w:tblCellMar>
      </w:tblPr>
      <w:tblGrid>
        <w:gridCol w:w="1083"/>
        <w:gridCol w:w="2907"/>
        <w:gridCol w:w="934"/>
        <w:gridCol w:w="1083"/>
        <w:gridCol w:w="1897"/>
        <w:gridCol w:w="963"/>
        <w:gridCol w:w="1100"/>
        <w:gridCol w:w="4062"/>
        <w:gridCol w:w="988"/>
      </w:tblGrid>
      <w:tr>
        <w:trPr>
          <w:trHeight w:val="113" w:hRule="atLeast"/>
        </w:trPr>
        <w:tc>
          <w:tcPr>
            <w:tcW w:w="15017" w:type="dxa"/>
            <w:gridSpan w:val="9"/>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28"/>
                <w:szCs w:val="28"/>
              </w:rPr>
            </w:pPr>
            <w:bookmarkStart w:id="2" w:name="RANGE!A1:I34"/>
            <w:r>
              <w:rPr>
                <w:rFonts w:hint="eastAsia" w:ascii="华文中宋" w:hAnsi="华文中宋" w:eastAsia="华文中宋" w:cs="宋体"/>
                <w:color w:val="000000"/>
                <w:kern w:val="0"/>
                <w:sz w:val="28"/>
                <w:szCs w:val="28"/>
              </w:rPr>
              <w:t>一般公共预算财政拨款基本支出决算表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部门： </w:t>
            </w:r>
            <w:r>
              <w:rPr>
                <w:rFonts w:hint="eastAsia" w:ascii="仿宋_GB2312" w:hAnsi="仿宋_GB2312" w:eastAsia="仿宋_GB2312" w:cs="仿宋_GB2312"/>
                <w:color w:val="000000"/>
                <w:kern w:val="0"/>
                <w:sz w:val="21"/>
                <w:szCs w:val="21"/>
              </w:rPr>
              <w:t>湖南省</w:t>
            </w:r>
            <w:r>
              <w:rPr>
                <w:rFonts w:hint="eastAsia" w:ascii="仿宋_GB2312" w:hAnsi="仿宋_GB2312" w:eastAsia="仿宋_GB2312" w:cs="仿宋_GB2312"/>
                <w:color w:val="000000"/>
                <w:kern w:val="0"/>
                <w:sz w:val="21"/>
                <w:szCs w:val="21"/>
                <w:lang w:eastAsia="zh-CN"/>
              </w:rPr>
              <w:t>对外科技交流中心</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113" w:hRule="atLeast"/>
        </w:trPr>
        <w:tc>
          <w:tcPr>
            <w:tcW w:w="108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290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3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08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189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6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06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8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129.97</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7.70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30.90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0.19</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9.86</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0.04</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6.62</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42.32</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12.00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0.11</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0.01</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9.69</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3.19</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0.79</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0.16</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12.00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5.69</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0.90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0.90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1.48</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1.20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98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kern w:val="0"/>
                <w:sz w:val="20"/>
                <w:szCs w:val="20"/>
                <w:u w:val="none"/>
                <w:lang w:val="en-US" w:eastAsia="zh-CN" w:bidi="ar"/>
              </w:rPr>
              <w:t>0.00</w:t>
            </w: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20"/>
                <w:szCs w:val="20"/>
              </w:rPr>
            </w:pPr>
            <w:r>
              <w:rPr>
                <w:rFonts w:hint="eastAsia" w:ascii="宋体" w:hAnsi="宋体" w:eastAsia="宋体" w:cs="宋体"/>
                <w:i w:val="0"/>
                <w:color w:val="000000"/>
                <w:sz w:val="20"/>
                <w:szCs w:val="20"/>
                <w:u w:val="none"/>
                <w:lang w:val="en-US" w:eastAsia="zh-CN"/>
              </w:rPr>
              <w:t>0.00</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4" w:hRule="exact"/>
        </w:trPr>
        <w:tc>
          <w:tcPr>
            <w:tcW w:w="1083"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290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34"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20"/>
                <w:szCs w:val="20"/>
              </w:rPr>
            </w:pPr>
          </w:p>
        </w:tc>
        <w:tc>
          <w:tcPr>
            <w:tcW w:w="108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1897"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963"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0.42</w:t>
            </w:r>
          </w:p>
        </w:tc>
        <w:tc>
          <w:tcPr>
            <w:tcW w:w="11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06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988" w:type="dxa"/>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Cs w:val="20"/>
              </w:rPr>
            </w:pPr>
          </w:p>
        </w:tc>
      </w:tr>
      <w:tr>
        <w:tblPrEx>
          <w:tblCellMar>
            <w:top w:w="0" w:type="dxa"/>
            <w:left w:w="108" w:type="dxa"/>
            <w:bottom w:w="0" w:type="dxa"/>
            <w:right w:w="108" w:type="dxa"/>
          </w:tblCellMar>
        </w:tblPrEx>
        <w:trPr>
          <w:trHeight w:val="289" w:hRule="exact"/>
        </w:trPr>
        <w:tc>
          <w:tcPr>
            <w:tcW w:w="3990"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3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130.87</w:t>
            </w:r>
          </w:p>
        </w:tc>
        <w:tc>
          <w:tcPr>
            <w:tcW w:w="910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公用经费合计</w:t>
            </w:r>
          </w:p>
        </w:tc>
        <w:tc>
          <w:tcPr>
            <w:tcW w:w="988" w:type="dxa"/>
            <w:tcBorders>
              <w:top w:val="nil"/>
              <w:left w:val="nil"/>
              <w:bottom w:val="single" w:color="auto" w:sz="4" w:space="0"/>
              <w:right w:val="single" w:color="auto" w:sz="4" w:space="0"/>
            </w:tcBorders>
            <w:shd w:val="clear" w:color="auto" w:fill="auto"/>
            <w:noWrap/>
            <w:vAlign w:val="center"/>
          </w:tcPr>
          <w:tbl>
            <w:tblPr>
              <w:tblStyle w:val="7"/>
              <w:tblW w:w="1275"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20" w:hRule="atLeast"/>
              </w:trPr>
              <w:tc>
                <w:tcPr>
                  <w:tcW w:w="127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default" w:ascii="宋体" w:hAnsi="宋体" w:eastAsia="宋体" w:cs="宋体"/>
                      <w:i w:val="0"/>
                      <w:color w:val="000000"/>
                      <w:sz w:val="20"/>
                      <w:szCs w:val="20"/>
                      <w:u w:val="none"/>
                      <w:lang w:val="en-US" w:eastAsia="zh-CN"/>
                    </w:rPr>
                  </w:pPr>
                  <w:r>
                    <w:rPr>
                      <w:rFonts w:hint="eastAsia" w:ascii="宋体" w:hAnsi="宋体" w:eastAsia="宋体" w:cs="宋体"/>
                      <w:i w:val="0"/>
                      <w:color w:val="000000"/>
                      <w:sz w:val="20"/>
                      <w:szCs w:val="20"/>
                      <w:u w:val="none"/>
                      <w:lang w:val="en-US" w:eastAsia="zh-CN"/>
                    </w:rPr>
                    <w:t>7.70</w:t>
                  </w:r>
                </w:p>
              </w:tc>
            </w:tr>
          </w:tbl>
          <w:p>
            <w:pPr>
              <w:widowControl/>
              <w:jc w:val="left"/>
              <w:rPr>
                <w:rFonts w:ascii="宋体" w:hAnsi="宋体" w:eastAsia="宋体" w:cs="宋体"/>
                <w:color w:val="000000"/>
                <w:kern w:val="0"/>
                <w:szCs w:val="18"/>
              </w:rPr>
            </w:pPr>
          </w:p>
        </w:tc>
      </w:tr>
      <w:tr>
        <w:tblPrEx>
          <w:tblCellMar>
            <w:top w:w="0" w:type="dxa"/>
            <w:left w:w="108" w:type="dxa"/>
            <w:bottom w:w="0" w:type="dxa"/>
            <w:right w:w="108" w:type="dxa"/>
          </w:tblCellMar>
        </w:tblPrEx>
        <w:trPr>
          <w:trHeight w:val="284" w:hRule="exact"/>
        </w:trPr>
        <w:tc>
          <w:tcPr>
            <w:tcW w:w="15017"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hint="eastAsia" w:ascii="Times New Roman" w:hAnsi="Times New Roman" w:eastAsia="方正小标宋_GBK" w:cs="Times New Roman"/>
          <w:color w:val="000000"/>
          <w:kern w:val="0"/>
          <w:sz w:val="36"/>
          <w:szCs w:val="36"/>
        </w:rPr>
        <w:sectPr>
          <w:pgSz w:w="16838" w:h="11906" w:orient="landscape"/>
          <w:pgMar w:top="737" w:right="1803" w:bottom="737" w:left="1803" w:header="851" w:footer="992" w:gutter="0"/>
          <w:cols w:space="0" w:num="1"/>
          <w:rtlGutter w:val="0"/>
          <w:docGrid w:type="lines" w:linePitch="312" w:charSpace="0"/>
        </w:sectPr>
      </w:pPr>
    </w:p>
    <w:p>
      <w:pPr>
        <w:widowControl/>
        <w:jc w:val="center"/>
        <w:rPr>
          <w:rFonts w:ascii="Times New Roman" w:hAnsi="Times New Roman" w:eastAsia="方正小标宋_GBK" w:cs="Times New Roman"/>
          <w:color w:val="000000"/>
          <w:kern w:val="0"/>
          <w:sz w:val="32"/>
          <w:szCs w:val="32"/>
        </w:rPr>
      </w:pPr>
      <w:r>
        <w:rPr>
          <w:rFonts w:hint="eastAsia" w:ascii="Times New Roman" w:hAnsi="Times New Roman" w:eastAsia="方正小标宋_GBK" w:cs="Times New Roman"/>
          <w:color w:val="000000"/>
          <w:kern w:val="0"/>
          <w:sz w:val="32"/>
          <w:szCs w:val="32"/>
        </w:rPr>
        <w:t>一般公共预算财政拨款“三公”经费支出决算表</w:t>
      </w:r>
    </w:p>
    <w:p>
      <w:pPr>
        <w:widowControl/>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 w:val="21"/>
          <w:szCs w:val="21"/>
        </w:rPr>
        <w:t>湖南省</w:t>
      </w:r>
      <w:r>
        <w:rPr>
          <w:rFonts w:hint="eastAsia" w:ascii="仿宋_GB2312" w:hAnsi="仿宋_GB2312" w:eastAsia="仿宋_GB2312" w:cs="仿宋_GB2312"/>
          <w:color w:val="000000"/>
          <w:kern w:val="0"/>
          <w:sz w:val="21"/>
          <w:szCs w:val="21"/>
          <w:lang w:eastAsia="zh-CN"/>
        </w:rPr>
        <w:t>对外科技交流中心</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jc w:val="left"/>
        <w:rPr>
          <w:rFonts w:ascii="Times New Roman" w:hAnsi="Times New Roman" w:eastAsia="仿宋_GB2312" w:cs="Times New Roman"/>
          <w:color w:val="000000"/>
          <w:kern w:val="0"/>
          <w:szCs w:val="21"/>
        </w:rPr>
      </w:pPr>
      <w:r>
        <w:rPr>
          <w:rFonts w:hint="eastAsia" w:ascii="仿宋_GB2312" w:hAnsi="仿宋_GB2312" w:eastAsia="仿宋_GB2312" w:cs="仿宋_GB2312"/>
          <w:color w:val="000000"/>
          <w:kern w:val="0"/>
          <w:sz w:val="21"/>
          <w:szCs w:val="21"/>
        </w:rPr>
        <w:t xml:space="preserve">                                                                                                    </w:t>
      </w:r>
      <w:r>
        <w:rPr>
          <w:rFonts w:hint="eastAsia" w:ascii="仿宋_GB2312" w:hAnsi="仿宋_GB2312" w:eastAsia="仿宋_GB2312" w:cs="仿宋_GB2312"/>
          <w:color w:val="000000"/>
          <w:kern w:val="0"/>
          <w:sz w:val="21"/>
          <w:szCs w:val="21"/>
          <w:lang w:val="en-US" w:eastAsia="zh-CN"/>
        </w:rPr>
        <w:t xml:space="preserve"> </w:t>
      </w:r>
      <w:r>
        <w:rPr>
          <w:rFonts w:hint="eastAsia" w:ascii="仿宋_GB2312" w:hAnsi="仿宋_GB2312" w:eastAsia="仿宋_GB2312" w:cs="仿宋_GB2312"/>
          <w:color w:val="000000"/>
          <w:kern w:val="0"/>
          <w:sz w:val="21"/>
          <w:szCs w:val="21"/>
        </w:rPr>
        <w:t xml:space="preserve">               单位：万元</w:t>
      </w:r>
    </w:p>
    <w:tbl>
      <w:tblPr>
        <w:tblStyle w:val="7"/>
        <w:tblW w:w="14171" w:type="dxa"/>
        <w:jc w:val="center"/>
        <w:tblLayout w:type="autofit"/>
        <w:tblCellMar>
          <w:top w:w="0" w:type="dxa"/>
          <w:left w:w="108" w:type="dxa"/>
          <w:bottom w:w="0" w:type="dxa"/>
          <w:right w:w="108" w:type="dxa"/>
        </w:tblCellMar>
      </w:tblPr>
      <w:tblGrid>
        <w:gridCol w:w="1220"/>
        <w:gridCol w:w="1220"/>
        <w:gridCol w:w="1220"/>
        <w:gridCol w:w="1220"/>
        <w:gridCol w:w="1220"/>
        <w:gridCol w:w="887"/>
        <w:gridCol w:w="1084"/>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6987"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ind w:right="420"/>
              <w:jc w:val="righ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color w:val="000000"/>
                <w:kern w:val="0"/>
                <w:szCs w:val="21"/>
                <w:lang w:val="en-US" w:eastAsia="zh-CN"/>
              </w:rPr>
              <w:t xml:space="preserve">     </w:t>
            </w:r>
            <w:r>
              <w:rPr>
                <w:rFonts w:hint="eastAsia" w:asciiTheme="minorEastAsia" w:hAnsiTheme="minorEastAsia" w:eastAsiaTheme="minorEastAsia" w:cstheme="minorEastAsia"/>
                <w:kern w:val="0"/>
                <w:szCs w:val="21"/>
              </w:rPr>
              <w:t>预算数</w:t>
            </w:r>
          </w:p>
        </w:tc>
        <w:tc>
          <w:tcPr>
            <w:tcW w:w="7184"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公务用车购置及运行费</w:t>
            </w:r>
          </w:p>
        </w:tc>
        <w:tc>
          <w:tcPr>
            <w:tcW w:w="887"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公务</w:t>
            </w:r>
          </w:p>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接待费</w:t>
            </w:r>
          </w:p>
        </w:tc>
        <w:tc>
          <w:tcPr>
            <w:tcW w:w="1084" w:type="dxa"/>
            <w:vMerge w:val="restart"/>
            <w:tcBorders>
              <w:top w:val="nil"/>
              <w:left w:val="nil"/>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公务</w:t>
            </w:r>
          </w:p>
          <w:p>
            <w:pPr>
              <w:widowControl/>
              <w:jc w:val="center"/>
              <w:rPr>
                <w:rFonts w:ascii="Times New Roman" w:hAnsi="Times New Roman" w:eastAsia="仿宋_GB2312" w:cs="Times New Roman"/>
                <w:kern w:val="0"/>
                <w:szCs w:val="21"/>
              </w:rPr>
            </w:pPr>
            <w:r>
              <w:rPr>
                <w:rFonts w:hint="eastAsia" w:asciiTheme="minorEastAsia" w:hAnsiTheme="minorEastAsia" w:eastAsiaTheme="minorEastAsia" w:cstheme="minorEastAsia"/>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lang w:eastAsia="zh-CN"/>
              </w:rPr>
            </w:pPr>
            <w:r>
              <w:rPr>
                <w:rFonts w:hint="eastAsia" w:asciiTheme="minorEastAsia" w:hAnsiTheme="minorEastAsia" w:eastAsiaTheme="minorEastAsia" w:cstheme="minorEastAsia"/>
                <w:kern w:val="0"/>
                <w:szCs w:val="21"/>
              </w:rPr>
              <w:t>公务用车</w:t>
            </w:r>
          </w:p>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lang w:eastAsia="zh-CN"/>
              </w:rPr>
            </w:pPr>
            <w:r>
              <w:rPr>
                <w:rFonts w:hint="eastAsia" w:asciiTheme="minorEastAsia" w:hAnsiTheme="minorEastAsia" w:eastAsiaTheme="minorEastAsia" w:cstheme="minorEastAsia"/>
                <w:kern w:val="0"/>
                <w:szCs w:val="21"/>
              </w:rPr>
              <w:t>公务用车</w:t>
            </w:r>
          </w:p>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运行费</w:t>
            </w:r>
          </w:p>
        </w:tc>
        <w:tc>
          <w:tcPr>
            <w:tcW w:w="887"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Theme="minorEastAsia" w:hAnsiTheme="minorEastAsia" w:eastAsiaTheme="minorEastAsia" w:cstheme="minorEastAsia"/>
                <w:kern w:val="0"/>
                <w:szCs w:val="21"/>
              </w:rPr>
            </w:pPr>
          </w:p>
        </w:tc>
        <w:tc>
          <w:tcPr>
            <w:tcW w:w="1084" w:type="dxa"/>
            <w:vMerge w:val="continue"/>
            <w:tcBorders>
              <w:top w:val="nil"/>
              <w:left w:val="nil"/>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hint="eastAsia" w:asciiTheme="minorEastAsia" w:hAnsiTheme="minorEastAsia" w:eastAsiaTheme="minorEastAsia" w:cstheme="minorEastAsia"/>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lang w:eastAsia="zh-CN"/>
              </w:rPr>
            </w:pPr>
            <w:r>
              <w:rPr>
                <w:rFonts w:hint="eastAsia" w:asciiTheme="minorEastAsia" w:hAnsiTheme="minorEastAsia" w:eastAsiaTheme="minorEastAsia" w:cstheme="minorEastAsia"/>
                <w:kern w:val="0"/>
                <w:szCs w:val="21"/>
              </w:rPr>
              <w:t>公务用车</w:t>
            </w:r>
          </w:p>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hint="eastAsia" w:asciiTheme="minorEastAsia" w:hAnsiTheme="minorEastAsia" w:eastAsiaTheme="minorEastAsia" w:cstheme="minorEastAsia"/>
                <w:kern w:val="0"/>
                <w:szCs w:val="21"/>
                <w:lang w:eastAsia="zh-CN"/>
              </w:rPr>
            </w:pPr>
            <w:r>
              <w:rPr>
                <w:rFonts w:hint="eastAsia" w:asciiTheme="minorEastAsia" w:hAnsiTheme="minorEastAsia" w:eastAsiaTheme="minorEastAsia" w:cstheme="minorEastAsia"/>
                <w:kern w:val="0"/>
                <w:szCs w:val="21"/>
              </w:rPr>
              <w:t>公务用车</w:t>
            </w:r>
          </w:p>
          <w:p>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887"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084"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8.00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887"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2.00</w:t>
            </w:r>
          </w:p>
        </w:tc>
        <w:tc>
          <w:tcPr>
            <w:tcW w:w="1084"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1.12</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0.84</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1220" w:type="dxa"/>
            <w:tcBorders>
              <w:top w:val="nil"/>
              <w:left w:val="nil"/>
              <w:bottom w:val="single" w:color="auto" w:sz="8" w:space="0"/>
              <w:right w:val="nil"/>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0.00</w:t>
            </w:r>
          </w:p>
        </w:tc>
        <w:tc>
          <w:tcPr>
            <w:tcW w:w="1220" w:type="dxa"/>
            <w:tcBorders>
              <w:top w:val="nil"/>
              <w:left w:val="single" w:color="auto" w:sz="4" w:space="0"/>
              <w:bottom w:val="single" w:color="auto" w:sz="8" w:space="0"/>
              <w:right w:val="single" w:color="auto"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kern w:val="0"/>
                <w:szCs w:val="21"/>
                <w:lang w:val="en-US" w:eastAsia="zh-CN"/>
              </w:rPr>
            </w:pPr>
            <w:r>
              <w:rPr>
                <w:rFonts w:hint="eastAsia" w:ascii="Times New Roman" w:hAnsi="Times New Roman" w:eastAsia="仿宋_GB2312" w:cs="Times New Roman"/>
                <w:kern w:val="0"/>
                <w:szCs w:val="21"/>
                <w:lang w:val="en-US" w:eastAsia="zh-CN"/>
              </w:rPr>
              <w:t>0.28</w:t>
            </w:r>
          </w:p>
        </w:tc>
      </w:tr>
    </w:tbl>
    <w:p>
      <w:pPr>
        <w:widowControl/>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决算数是包括当年一般公共预算财政拨款和以前年度结转资金安排的实际支出。</w:t>
      </w:r>
      <w:r>
        <w:rPr>
          <w:rFonts w:ascii="宋体" w:eastAsia="宋体" w:cs="宋体"/>
          <w:kern w:val="0"/>
          <w:sz w:val="24"/>
          <w:szCs w:val="24"/>
        </w:rPr>
        <w:br w:type="page"/>
      </w:r>
    </w:p>
    <w:p>
      <w:pPr>
        <w:widowControl/>
        <w:jc w:val="center"/>
        <w:rPr>
          <w:rFonts w:ascii="Times New Roman" w:hAnsi="Times New Roman" w:eastAsia="方正小标宋_GBK" w:cs="Times New Roman"/>
          <w:kern w:val="0"/>
          <w:sz w:val="32"/>
          <w:szCs w:val="32"/>
        </w:rPr>
      </w:pPr>
      <w:r>
        <w:rPr>
          <w:rFonts w:ascii="Times New Roman" w:hAnsi="Times New Roman" w:eastAsia="方正小标宋_GBK" w:cs="Times New Roman"/>
          <w:kern w:val="0"/>
          <w:sz w:val="32"/>
          <w:szCs w:val="32"/>
        </w:rPr>
        <w:t>政府性基金预算财政拨款收入支出决算表</w:t>
      </w:r>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 w:val="21"/>
          <w:szCs w:val="21"/>
        </w:rPr>
        <w:t>湖南省</w:t>
      </w:r>
      <w:r>
        <w:rPr>
          <w:rFonts w:hint="eastAsia" w:ascii="仿宋_GB2312" w:hAnsi="仿宋_GB2312" w:eastAsia="仿宋_GB2312" w:cs="仿宋_GB2312"/>
          <w:color w:val="000000"/>
          <w:kern w:val="0"/>
          <w:sz w:val="21"/>
          <w:szCs w:val="21"/>
          <w:lang w:eastAsia="zh-CN"/>
        </w:rPr>
        <w:t>对外科技交流中心</w:t>
      </w:r>
      <w:r>
        <w:rPr>
          <w:rFonts w:ascii="Times New Roman" w:hAnsi="Times New Roman" w:eastAsia="仿宋_GB2312" w:cs="Times New Roman"/>
          <w:color w:val="000000"/>
          <w:kern w:val="0"/>
          <w:szCs w:val="21"/>
        </w:rPr>
        <w:t xml:space="preserve">                                                                                        公开08表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7"/>
        <w:tblpPr w:leftFromText="180" w:rightFromText="180" w:vertAnchor="text" w:horzAnchor="page" w:tblpX="1361" w:tblpY="217"/>
        <w:tblOverlap w:val="never"/>
        <w:tblW w:w="1454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5"/>
        <w:gridCol w:w="5205"/>
        <w:gridCol w:w="1439"/>
        <w:gridCol w:w="1469"/>
        <w:gridCol w:w="1319"/>
        <w:gridCol w:w="1300"/>
        <w:gridCol w:w="1372"/>
        <w:gridCol w:w="1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6250"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1439"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年初结转和结余</w:t>
            </w:r>
          </w:p>
        </w:tc>
        <w:tc>
          <w:tcPr>
            <w:tcW w:w="1469" w:type="dxa"/>
            <w:vMerge w:val="restart"/>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w:t>
            </w:r>
          </w:p>
        </w:tc>
        <w:tc>
          <w:tcPr>
            <w:tcW w:w="3991" w:type="dxa"/>
            <w:gridSpan w:val="3"/>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c>
          <w:tcPr>
            <w:tcW w:w="1400" w:type="dxa"/>
            <w:vMerge w:val="restart"/>
            <w:tcBorders>
              <w:top w:val="single" w:color="auto" w:sz="4" w:space="0"/>
              <w:left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45"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52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439"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469"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1319"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1300"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1372" w:type="dxa"/>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c>
          <w:tcPr>
            <w:tcW w:w="1400" w:type="dxa"/>
            <w:vMerge w:val="continue"/>
            <w:tcBorders>
              <w:left w:val="nil"/>
              <w:bottom w:val="single" w:color="auto"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250"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14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14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131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c>
          <w:tcPr>
            <w:tcW w:w="13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w:t>
            </w:r>
          </w:p>
        </w:tc>
        <w:tc>
          <w:tcPr>
            <w:tcW w:w="137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w:t>
            </w:r>
          </w:p>
        </w:tc>
        <w:tc>
          <w:tcPr>
            <w:tcW w:w="1400" w:type="dxa"/>
            <w:tcBorders>
              <w:top w:val="single" w:color="auto"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250"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4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4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1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7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045" w:type="dxa"/>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p>
        </w:tc>
        <w:tc>
          <w:tcPr>
            <w:tcW w:w="5205"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i w:val="0"/>
                <w:color w:val="000000"/>
                <w:sz w:val="20"/>
                <w:szCs w:val="20"/>
                <w:u w:val="none"/>
              </w:rPr>
            </w:pPr>
          </w:p>
        </w:tc>
        <w:tc>
          <w:tcPr>
            <w:tcW w:w="143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46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19"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372"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c>
          <w:tcPr>
            <w:tcW w:w="1400"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i w:val="0"/>
                <w:color w:val="000000"/>
                <w:sz w:val="20"/>
                <w:szCs w:val="20"/>
                <w:u w:val="none"/>
              </w:rPr>
            </w:pPr>
          </w:p>
        </w:tc>
      </w:tr>
    </w:tbl>
    <w:p>
      <w:pPr>
        <w:widowControl/>
        <w:jc w:val="right"/>
        <w:rPr>
          <w:rFonts w:ascii="Times New Roman" w:hAnsi="Times New Roman" w:eastAsia="仿宋_GB2312" w:cs="Times New Roman"/>
          <w:color w:val="000000"/>
          <w:kern w:val="0"/>
          <w:szCs w:val="21"/>
        </w:rPr>
      </w:pPr>
    </w:p>
    <w:p>
      <w:pPr>
        <w:widowControl/>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注：本表反映部门本年度政府性基金预算财政拨款收入、支出及结转和结余情况</w:t>
      </w:r>
    </w:p>
    <w:p>
      <w:pPr>
        <w:widowControl/>
        <w:jc w:val="left"/>
        <w:rPr>
          <w:rFonts w:ascii="黑体" w:hAnsi="黑体" w:eastAsia="黑体"/>
          <w:szCs w:val="21"/>
        </w:rPr>
      </w:pPr>
      <w:r>
        <w:rPr>
          <w:rFonts w:hint="eastAsia" w:ascii="宋体" w:hAnsi="宋体" w:eastAsia="宋体" w:cs="宋体"/>
          <w:color w:val="000000"/>
          <w:kern w:val="0"/>
          <w:sz w:val="24"/>
          <w:szCs w:val="24"/>
          <w:lang w:val="en-US" w:eastAsia="zh-CN" w:bidi="ar-SA"/>
        </w:rPr>
        <w:t>说明：湖南省对外科技交流中心无政府性基金收支，故本表无数据。</w:t>
      </w:r>
      <w:r>
        <w:rPr>
          <w:rFonts w:ascii="黑体" w:hAnsi="黑体" w:eastAsia="黑体"/>
          <w:szCs w:val="21"/>
        </w:rPr>
        <w:br w:type="page"/>
      </w:r>
    </w:p>
    <w:p>
      <w:pPr>
        <w:pStyle w:val="12"/>
        <w:jc w:val="center"/>
        <w:rPr>
          <w:rFonts w:hint="eastAsia"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p>
      <w:pPr>
        <w:widowControl/>
        <w:wordWrap w:val="0"/>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仿宋_GB2312" w:hAnsi="仿宋_GB2312" w:eastAsia="仿宋_GB2312" w:cs="仿宋_GB2312"/>
          <w:color w:val="000000"/>
          <w:kern w:val="0"/>
          <w:sz w:val="21"/>
          <w:szCs w:val="21"/>
        </w:rPr>
        <w:t>湖南省</w:t>
      </w:r>
      <w:r>
        <w:rPr>
          <w:rFonts w:hint="eastAsia" w:ascii="仿宋_GB2312" w:hAnsi="仿宋_GB2312" w:eastAsia="仿宋_GB2312" w:cs="仿宋_GB2312"/>
          <w:color w:val="000000"/>
          <w:kern w:val="0"/>
          <w:sz w:val="21"/>
          <w:szCs w:val="21"/>
          <w:lang w:eastAsia="zh-CN"/>
        </w:rPr>
        <w:t>对外科技交流中心</w:t>
      </w:r>
      <w:r>
        <w:rPr>
          <w:rFonts w:ascii="Times New Roman" w:hAnsi="Times New Roman" w:eastAsia="仿宋_GB2312" w:cs="Times New Roman"/>
          <w:color w:val="000000"/>
          <w:kern w:val="0"/>
          <w:szCs w:val="21"/>
        </w:rPr>
        <w:t xml:space="preserve">                                                                                        公开0</w:t>
      </w:r>
      <w:r>
        <w:rPr>
          <w:rFonts w:hint="eastAsia" w:ascii="Times New Roman" w:hAnsi="Times New Roman" w:eastAsia="仿宋_GB2312" w:cs="Times New Roman"/>
          <w:color w:val="000000"/>
          <w:kern w:val="0"/>
          <w:szCs w:val="21"/>
          <w:lang w:val="en-US" w:eastAsia="zh-CN"/>
        </w:rPr>
        <w:t>9</w:t>
      </w:r>
      <w:r>
        <w:rPr>
          <w:rFonts w:ascii="Times New Roman" w:hAnsi="Times New Roman" w:eastAsia="仿宋_GB2312" w:cs="Times New Roman"/>
          <w:color w:val="000000"/>
          <w:kern w:val="0"/>
          <w:szCs w:val="21"/>
        </w:rPr>
        <w:t>表</w:t>
      </w:r>
    </w:p>
    <w:p>
      <w:pPr>
        <w:widowControl/>
        <w:jc w:val="righ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单位：万元</w:t>
      </w:r>
    </w:p>
    <w:tbl>
      <w:tblPr>
        <w:tblStyle w:val="7"/>
        <w:tblW w:w="1345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3"/>
        <w:gridCol w:w="5298"/>
        <w:gridCol w:w="2633"/>
        <w:gridCol w:w="2141"/>
        <w:gridCol w:w="22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481" w:type="dxa"/>
            <w:gridSpan w:val="2"/>
            <w:tcBorders>
              <w:top w:val="single" w:color="auto"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w:t>
            </w:r>
          </w:p>
        </w:tc>
        <w:tc>
          <w:tcPr>
            <w:tcW w:w="6975" w:type="dxa"/>
            <w:gridSpan w:val="3"/>
            <w:tcBorders>
              <w:top w:val="single" w:color="auto"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功能分类科目编码</w:t>
            </w:r>
          </w:p>
        </w:tc>
        <w:tc>
          <w:tcPr>
            <w:tcW w:w="5298" w:type="dxa"/>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2633"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214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基本支出</w:t>
            </w:r>
          </w:p>
        </w:tc>
        <w:tc>
          <w:tcPr>
            <w:tcW w:w="2201"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183" w:type="dxa"/>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5298" w:type="dxa"/>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color w:val="000000"/>
                <w:sz w:val="20"/>
                <w:szCs w:val="20"/>
                <w:u w:val="none"/>
              </w:rPr>
            </w:pPr>
          </w:p>
        </w:tc>
        <w:tc>
          <w:tcPr>
            <w:tcW w:w="2633"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14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c>
          <w:tcPr>
            <w:tcW w:w="2201" w:type="dxa"/>
            <w:vMerge w:val="continue"/>
            <w:tcBorders>
              <w:top w:val="nil"/>
              <w:left w:val="nil"/>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481"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栏次</w:t>
            </w:r>
          </w:p>
        </w:tc>
        <w:tc>
          <w:tcPr>
            <w:tcW w:w="2633"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w:t>
            </w:r>
          </w:p>
        </w:tc>
        <w:tc>
          <w:tcPr>
            <w:tcW w:w="2141" w:type="dxa"/>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w:t>
            </w:r>
          </w:p>
        </w:tc>
        <w:tc>
          <w:tcPr>
            <w:tcW w:w="0" w:type="auto"/>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6481" w:type="dxa"/>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both"/>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263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p>
        </w:tc>
        <w:tc>
          <w:tcPr>
            <w:tcW w:w="214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b/>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5298" w:type="dxa"/>
            <w:tcBorders>
              <w:top w:val="nil"/>
              <w:left w:val="nil"/>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color w:val="000000"/>
                <w:sz w:val="20"/>
                <w:szCs w:val="20"/>
                <w:u w:val="none"/>
              </w:rPr>
            </w:pPr>
          </w:p>
        </w:tc>
        <w:tc>
          <w:tcPr>
            <w:tcW w:w="2633"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2141" w:type="dxa"/>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color w:val="000000"/>
                <w:sz w:val="20"/>
                <w:szCs w:val="20"/>
                <w:u w:val="none"/>
              </w:rPr>
            </w:pPr>
          </w:p>
        </w:tc>
      </w:tr>
    </w:tbl>
    <w:p>
      <w:pPr>
        <w:pStyle w:val="12"/>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pStyle w:val="12"/>
        <w:rPr>
          <w:rFonts w:hint="eastAsia" w:ascii="宋体" w:hAnsi="宋体" w:eastAsia="宋体" w:cs="宋体"/>
          <w:kern w:val="0"/>
          <w:sz w:val="24"/>
          <w:szCs w:val="24"/>
          <w:lang w:eastAsia="zh-CN"/>
        </w:rPr>
        <w:sectPr>
          <w:pgSz w:w="16838" w:h="11906" w:orient="landscape"/>
          <w:pgMar w:top="1440" w:right="1803" w:bottom="1440" w:left="1803" w:header="851" w:footer="992" w:gutter="0"/>
          <w:cols w:space="0" w:num="1"/>
          <w:rtlGutter w:val="0"/>
          <w:docGrid w:type="lines" w:linePitch="322" w:charSpace="0"/>
        </w:sectPr>
      </w:pPr>
      <w:r>
        <w:rPr>
          <w:rFonts w:hint="eastAsia" w:ascii="宋体" w:hAnsi="宋体" w:eastAsia="宋体" w:cs="宋体"/>
          <w:kern w:val="0"/>
          <w:sz w:val="24"/>
          <w:szCs w:val="24"/>
          <w:lang w:val="en-US" w:eastAsia="zh-CN"/>
        </w:rPr>
        <w:t>说明：</w:t>
      </w:r>
      <w:bookmarkStart w:id="3" w:name="_GoBack"/>
      <w:bookmarkEnd w:id="3"/>
      <w:r>
        <w:rPr>
          <w:rFonts w:hint="eastAsia" w:ascii="宋体" w:hAnsi="宋体" w:eastAsia="宋体" w:cs="宋体"/>
          <w:kern w:val="0"/>
          <w:sz w:val="24"/>
          <w:szCs w:val="24"/>
          <w:lang w:eastAsia="zh-CN"/>
        </w:rPr>
        <w:t>湖南省对外科技交流中心无</w:t>
      </w:r>
      <w:r>
        <w:rPr>
          <w:rFonts w:hint="eastAsia" w:ascii="宋体" w:hAnsi="宋体" w:eastAsia="宋体" w:cs="宋体"/>
          <w:kern w:val="0"/>
          <w:sz w:val="24"/>
          <w:szCs w:val="24"/>
        </w:rPr>
        <w:t>国有资本经营</w:t>
      </w:r>
      <w:r>
        <w:rPr>
          <w:rFonts w:hint="eastAsia" w:ascii="宋体" w:hAnsi="宋体" w:eastAsia="宋体" w:cs="宋体"/>
          <w:kern w:val="0"/>
          <w:sz w:val="24"/>
          <w:szCs w:val="24"/>
          <w:lang w:eastAsia="zh-CN"/>
        </w:rPr>
        <w:t>收支，</w:t>
      </w:r>
      <w:r>
        <w:rPr>
          <w:rFonts w:hint="eastAsia" w:ascii="宋体" w:hAnsi="宋体" w:eastAsia="宋体" w:cs="宋体"/>
          <w:kern w:val="0"/>
          <w:sz w:val="24"/>
          <w:szCs w:val="24"/>
        </w:rPr>
        <w:t>故本表无数据</w:t>
      </w:r>
      <w:r>
        <w:rPr>
          <w:rFonts w:hint="eastAsia" w:ascii="宋体" w:hAnsi="宋体" w:eastAsia="宋体" w:cs="宋体"/>
          <w:kern w:val="0"/>
          <w:sz w:val="24"/>
          <w:szCs w:val="24"/>
          <w:lang w:eastAsia="zh-CN"/>
        </w:rPr>
        <w:t>。</w:t>
      </w:r>
    </w:p>
    <w:p>
      <w:pPr>
        <w:pStyle w:val="12"/>
        <w:rPr>
          <w:sz w:val="72"/>
          <w:szCs w:val="72"/>
        </w:rPr>
      </w:pPr>
    </w:p>
    <w:p>
      <w:pPr>
        <w:pStyle w:val="12"/>
        <w:rPr>
          <w:sz w:val="72"/>
          <w:szCs w:val="72"/>
        </w:rPr>
      </w:pPr>
    </w:p>
    <w:p>
      <w:pPr>
        <w:pStyle w:val="12"/>
        <w:rPr>
          <w:sz w:val="72"/>
          <w:szCs w:val="72"/>
        </w:rPr>
      </w:pPr>
    </w:p>
    <w:p>
      <w:pPr>
        <w:pStyle w:val="12"/>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r>
        <w:rPr>
          <w:rFonts w:hint="eastAsia"/>
          <w:sz w:val="72"/>
          <w:szCs w:val="72"/>
        </w:rPr>
        <w:t>第三部分</w:t>
      </w:r>
    </w:p>
    <w:p>
      <w:pPr>
        <w:pStyle w:val="12"/>
        <w:jc w:val="center"/>
        <w:rPr>
          <w:sz w:val="70"/>
          <w:szCs w:val="70"/>
        </w:rPr>
      </w:pPr>
    </w:p>
    <w:p>
      <w:pPr>
        <w:pStyle w:val="12"/>
        <w:jc w:val="center"/>
        <w:rPr>
          <w:sz w:val="70"/>
          <w:szCs w:val="70"/>
        </w:rPr>
      </w:pPr>
      <w:r>
        <w:rPr>
          <w:sz w:val="70"/>
          <w:szCs w:val="70"/>
        </w:rPr>
        <w:t>20</w:t>
      </w:r>
      <w:r>
        <w:rPr>
          <w:rFonts w:hint="eastAsia"/>
          <w:sz w:val="70"/>
          <w:szCs w:val="70"/>
        </w:rPr>
        <w:t>2</w:t>
      </w:r>
      <w:r>
        <w:rPr>
          <w:rFonts w:hint="eastAsia"/>
          <w:sz w:val="70"/>
          <w:szCs w:val="70"/>
          <w:lang w:val="en-US" w:eastAsia="zh-CN"/>
        </w:rPr>
        <w:t>1</w:t>
      </w:r>
      <w:r>
        <w:rPr>
          <w:rFonts w:hint="eastAsia"/>
          <w:sz w:val="70"/>
          <w:szCs w:val="70"/>
        </w:rPr>
        <w:t>年度部门决算情况说明</w:t>
      </w:r>
    </w:p>
    <w:p>
      <w:pPr>
        <w:widowControl/>
        <w:jc w:val="left"/>
        <w:rPr>
          <w:rFonts w:ascii="黑体" w:eastAsia="黑体" w:cs="黑体"/>
          <w:color w:val="000000"/>
          <w:kern w:val="0"/>
          <w:sz w:val="70"/>
          <w:szCs w:val="70"/>
        </w:rPr>
      </w:pPr>
      <w:r>
        <w:rPr>
          <w:sz w:val="70"/>
          <w:szCs w:val="70"/>
        </w:rPr>
        <w:br w:type="page"/>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一、收入支出决算总体情况说明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color w:val="auto"/>
          <w:sz w:val="32"/>
          <w:szCs w:val="32"/>
          <w:lang w:val="en-US" w:eastAsia="zh-CN"/>
        </w:rPr>
        <w:t>351.70</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46.36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11.65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w:t>
      </w:r>
      <w:r>
        <w:rPr>
          <w:rFonts w:hint="eastAsia" w:ascii="仿宋_GB2312" w:hAnsi="仿宋_GB2312" w:eastAsia="仿宋_GB2312" w:cs="仿宋_GB2312"/>
          <w:color w:val="auto"/>
          <w:sz w:val="32"/>
          <w:szCs w:val="32"/>
        </w:rPr>
        <w:t>要是因为</w:t>
      </w:r>
      <w:r>
        <w:rPr>
          <w:rFonts w:hint="eastAsia" w:ascii="仿宋_GB2312" w:hAnsi="仿宋_GB2312" w:eastAsia="仿宋_GB2312" w:cs="仿宋_GB2312"/>
          <w:color w:val="auto"/>
          <w:sz w:val="32"/>
          <w:szCs w:val="32"/>
          <w:lang w:eastAsia="zh-CN"/>
        </w:rPr>
        <w:t>年初财政拨款结转和结余减少</w:t>
      </w:r>
      <w:r>
        <w:rPr>
          <w:rFonts w:hint="eastAsia" w:ascii="仿宋_GB2312" w:hAnsi="仿宋_GB2312" w:eastAsia="仿宋_GB2312" w:cs="仿宋_GB2312"/>
          <w:sz w:val="32"/>
          <w:szCs w:val="32"/>
          <w:lang w:eastAsia="zh-CN"/>
        </w:rPr>
        <w:t>，以及202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年按照中央要求压减了一般性支出。</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二、收入决算情况说明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本年收入合计</w:t>
      </w:r>
      <w:r>
        <w:rPr>
          <w:rFonts w:hint="eastAsia" w:ascii="仿宋_GB2312" w:hAnsi="仿宋_GB2312" w:eastAsia="仿宋_GB2312" w:cs="仿宋_GB2312"/>
          <w:color w:val="auto"/>
          <w:sz w:val="32"/>
          <w:szCs w:val="32"/>
          <w:lang w:val="en-US" w:eastAsia="zh-CN"/>
        </w:rPr>
        <w:t>268.24</w:t>
      </w:r>
      <w:r>
        <w:rPr>
          <w:rFonts w:hint="eastAsia" w:ascii="仿宋_GB2312" w:hAnsi="仿宋_GB2312" w:eastAsia="仿宋_GB2312" w:cs="仿宋_GB2312"/>
          <w:color w:val="auto"/>
          <w:sz w:val="32"/>
          <w:szCs w:val="32"/>
        </w:rPr>
        <w:t>万</w:t>
      </w:r>
      <w:r>
        <w:rPr>
          <w:rFonts w:hint="eastAsia" w:ascii="仿宋_GB2312" w:hAnsi="仿宋_GB2312" w:eastAsia="仿宋_GB2312" w:cs="仿宋_GB2312"/>
          <w:sz w:val="32"/>
          <w:szCs w:val="32"/>
        </w:rPr>
        <w:t>元，其中：财政拨款收入</w:t>
      </w:r>
      <w:r>
        <w:rPr>
          <w:rFonts w:hint="eastAsia" w:ascii="仿宋_GB2312" w:hAnsi="仿宋_GB2312" w:eastAsia="仿宋_GB2312" w:cs="仿宋_GB2312"/>
          <w:sz w:val="32"/>
          <w:szCs w:val="32"/>
          <w:lang w:val="en-US" w:eastAsia="zh-CN"/>
        </w:rPr>
        <w:t>201.88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75.26</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66.15</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24.66</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0.21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0.08</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三、支出决算情况说明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本年支出合</w:t>
      </w:r>
      <w:r>
        <w:rPr>
          <w:rFonts w:hint="eastAsia" w:ascii="仿宋_GB2312" w:hAnsi="仿宋_GB2312" w:eastAsia="仿宋_GB2312" w:cs="仿宋_GB2312"/>
          <w:color w:val="auto"/>
          <w:sz w:val="32"/>
          <w:szCs w:val="32"/>
        </w:rPr>
        <w:t>计</w:t>
      </w:r>
      <w:r>
        <w:rPr>
          <w:rFonts w:hint="eastAsia" w:ascii="仿宋_GB2312" w:hAnsi="仿宋_GB2312" w:eastAsia="仿宋_GB2312" w:cs="仿宋_GB2312"/>
          <w:color w:val="auto"/>
          <w:sz w:val="32"/>
          <w:szCs w:val="32"/>
          <w:lang w:val="en-US" w:eastAsia="zh-CN"/>
        </w:rPr>
        <w:t>246.81</w:t>
      </w:r>
      <w:r>
        <w:rPr>
          <w:rFonts w:hint="eastAsia" w:ascii="仿宋_GB2312" w:hAnsi="仿宋_GB2312" w:eastAsia="仿宋_GB2312" w:cs="仿宋_GB2312"/>
          <w:color w:val="auto"/>
          <w:sz w:val="32"/>
          <w:szCs w:val="32"/>
        </w:rPr>
        <w:t>万元，其中：基本支出</w:t>
      </w:r>
      <w:r>
        <w:rPr>
          <w:rFonts w:hint="eastAsia" w:ascii="仿宋_GB2312" w:hAnsi="仿宋_GB2312" w:eastAsia="仿宋_GB2312" w:cs="仿宋_GB2312"/>
          <w:color w:val="auto"/>
          <w:sz w:val="32"/>
          <w:szCs w:val="32"/>
          <w:lang w:val="en-US" w:eastAsia="zh-CN"/>
        </w:rPr>
        <w:t>152.47</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61.78</w:t>
      </w:r>
      <w:r>
        <w:rPr>
          <w:rFonts w:hint="eastAsia" w:ascii="仿宋_GB2312" w:hAnsi="仿宋_GB2312" w:eastAsia="仿宋_GB2312" w:cs="仿宋_GB2312"/>
          <w:color w:val="auto"/>
          <w:sz w:val="32"/>
          <w:szCs w:val="32"/>
        </w:rPr>
        <w:t>%；项目支出</w:t>
      </w:r>
      <w:r>
        <w:rPr>
          <w:rFonts w:hint="eastAsia" w:ascii="仿宋_GB2312" w:hAnsi="仿宋_GB2312" w:eastAsia="仿宋_GB2312" w:cs="仿宋_GB2312"/>
          <w:color w:val="auto"/>
          <w:sz w:val="32"/>
          <w:szCs w:val="32"/>
          <w:lang w:val="en-US" w:eastAsia="zh-CN"/>
        </w:rPr>
        <w:t>94.34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38.22</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四、财政拨款收入支出决算总体情况说明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color w:val="auto"/>
          <w:sz w:val="32"/>
          <w:szCs w:val="32"/>
          <w:lang w:val="en-US" w:eastAsia="zh-CN"/>
        </w:rPr>
        <w:t>271.64</w:t>
      </w:r>
      <w:r>
        <w:rPr>
          <w:rFonts w:hint="eastAsia" w:ascii="仿宋_GB2312" w:hAnsi="仿宋_GB2312" w:eastAsia="仿宋_GB2312" w:cs="仿宋_GB2312"/>
          <w:sz w:val="32"/>
          <w:szCs w:val="32"/>
        </w:rPr>
        <w:t>万元，与上年相比，</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30.92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10.21</w:t>
      </w:r>
      <w:r>
        <w:rPr>
          <w:rFonts w:hint="eastAsia" w:ascii="仿宋_GB2312" w:hAnsi="仿宋_GB2312" w:eastAsia="仿宋_GB2312" w:cs="仿宋_GB2312"/>
          <w:sz w:val="32"/>
          <w:szCs w:val="32"/>
        </w:rPr>
        <w:t>%，主</w:t>
      </w:r>
      <w:r>
        <w:rPr>
          <w:rFonts w:hint="eastAsia" w:ascii="仿宋_GB2312" w:hAnsi="仿宋_GB2312" w:eastAsia="仿宋_GB2312" w:cs="仿宋_GB2312"/>
          <w:color w:val="auto"/>
          <w:sz w:val="32"/>
          <w:szCs w:val="32"/>
        </w:rPr>
        <w:t>要是因为</w:t>
      </w:r>
      <w:r>
        <w:rPr>
          <w:rFonts w:hint="eastAsia" w:ascii="仿宋_GB2312" w:hAnsi="仿宋_GB2312" w:eastAsia="仿宋_GB2312" w:cs="仿宋_GB2312"/>
          <w:color w:val="auto"/>
          <w:sz w:val="32"/>
          <w:szCs w:val="32"/>
          <w:lang w:eastAsia="zh-CN"/>
        </w:rPr>
        <w:t>年初财政拨款结转和结余减少</w:t>
      </w:r>
      <w:r>
        <w:rPr>
          <w:rFonts w:hint="eastAsia" w:ascii="仿宋_GB2312" w:hAnsi="仿宋_GB2312" w:eastAsia="仿宋_GB2312" w:cs="仿宋_GB2312"/>
          <w:sz w:val="32"/>
          <w:szCs w:val="32"/>
          <w:lang w:eastAsia="zh-CN"/>
        </w:rPr>
        <w:t>，以及202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年按照中央要求压减了一般性支出。</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五、一般公共预算财政拨款支出决算情况说明</w:t>
      </w:r>
    </w:p>
    <w:p>
      <w:pPr>
        <w:pStyle w:val="12"/>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楷体" w:hAnsi="楷体" w:eastAsia="楷体" w:cs="楷体"/>
          <w:b/>
          <w:sz w:val="32"/>
          <w:szCs w:val="32"/>
        </w:rPr>
      </w:pPr>
      <w:r>
        <w:rPr>
          <w:rFonts w:hint="eastAsia" w:ascii="楷体" w:hAnsi="楷体" w:eastAsia="楷体" w:cs="楷体"/>
          <w:b/>
          <w:sz w:val="32"/>
          <w:szCs w:val="32"/>
        </w:rPr>
        <w:t>（一）财政拨款支出决算总体情况</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166.75</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80.05</w:t>
      </w:r>
      <w:r>
        <w:rPr>
          <w:rFonts w:hint="eastAsia" w:ascii="仿宋_GB2312" w:hAnsi="仿宋_GB2312" w:eastAsia="仿宋_GB2312" w:cs="仿宋_GB2312"/>
          <w:sz w:val="32"/>
          <w:szCs w:val="32"/>
        </w:rPr>
        <w:t>%，与上年相比，财政拨款支出减少</w:t>
      </w:r>
      <w:r>
        <w:rPr>
          <w:rFonts w:hint="eastAsia" w:ascii="仿宋_GB2312" w:hAnsi="仿宋_GB2312" w:eastAsia="仿宋_GB2312" w:cs="仿宋_GB2312"/>
          <w:sz w:val="32"/>
          <w:szCs w:val="32"/>
          <w:lang w:val="en-US" w:eastAsia="zh-CN"/>
        </w:rPr>
        <w:t>29.38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14.97</w:t>
      </w:r>
      <w:r>
        <w:rPr>
          <w:rFonts w:hint="eastAsia" w:ascii="仿宋_GB2312" w:hAnsi="仿宋_GB2312" w:eastAsia="仿宋_GB2312" w:cs="仿宋_GB2312"/>
          <w:sz w:val="32"/>
          <w:szCs w:val="32"/>
        </w:rPr>
        <w:t>%，主</w:t>
      </w:r>
      <w:r>
        <w:rPr>
          <w:rFonts w:hint="eastAsia" w:ascii="仿宋_GB2312" w:hAnsi="仿宋_GB2312" w:eastAsia="仿宋_GB2312" w:cs="仿宋_GB2312"/>
          <w:color w:val="auto"/>
          <w:sz w:val="32"/>
          <w:szCs w:val="32"/>
        </w:rPr>
        <w:t>要</w:t>
      </w:r>
      <w:r>
        <w:rPr>
          <w:rFonts w:hint="eastAsia" w:ascii="仿宋_GB2312" w:hAnsi="仿宋_GB2312" w:eastAsia="仿宋_GB2312" w:cs="仿宋_GB2312"/>
          <w:color w:val="auto"/>
          <w:sz w:val="32"/>
          <w:szCs w:val="32"/>
          <w:lang w:eastAsia="zh-CN"/>
        </w:rPr>
        <w:t>是因为：</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1年</w:t>
      </w:r>
      <w:r>
        <w:rPr>
          <w:rFonts w:hint="eastAsia" w:ascii="仿宋_GB2312" w:hAnsi="仿宋_GB2312" w:eastAsia="仿宋_GB2312" w:cs="仿宋_GB2312"/>
          <w:sz w:val="32"/>
          <w:szCs w:val="32"/>
          <w:lang w:eastAsia="zh-CN"/>
        </w:rPr>
        <w:t>受疫情影响，科技创新创业人才出国（境）团组全部取消，项目支出减少；202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年按照中央要求压减了一般性支出。</w:t>
      </w:r>
    </w:p>
    <w:p>
      <w:pPr>
        <w:pStyle w:val="12"/>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楷体" w:hAnsi="楷体" w:eastAsia="楷体" w:cs="楷体"/>
          <w:b/>
          <w:sz w:val="32"/>
          <w:szCs w:val="32"/>
        </w:rPr>
      </w:pPr>
      <w:r>
        <w:rPr>
          <w:rFonts w:hint="eastAsia" w:ascii="楷体" w:hAnsi="楷体" w:eastAsia="楷体" w:cs="楷体"/>
          <w:b/>
          <w:sz w:val="32"/>
          <w:szCs w:val="32"/>
        </w:rPr>
        <w:t>（二）财政拨款支出决算结构情况</w:t>
      </w:r>
    </w:p>
    <w:p>
      <w:pPr>
        <w:pStyle w:val="12"/>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宋体" w:hAnsi="宋体" w:eastAsia="仿宋_GB2312"/>
          <w:color w:val="auto"/>
          <w:sz w:val="32"/>
          <w:szCs w:val="32"/>
          <w:lang w:val="en-US"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166.75</w:t>
      </w:r>
      <w:r>
        <w:rPr>
          <w:rFonts w:hint="eastAsia" w:ascii="仿宋_GB2312" w:hAnsi="仿宋_GB2312" w:eastAsia="仿宋_GB2312" w:cs="仿宋_GB2312"/>
          <w:sz w:val="32"/>
          <w:szCs w:val="32"/>
        </w:rPr>
        <w:t>万元，主要用于以下方面：科学技术（类）支出</w:t>
      </w:r>
      <w:r>
        <w:rPr>
          <w:rFonts w:hint="eastAsia" w:ascii="仿宋_GB2312" w:hAnsi="仿宋_GB2312" w:eastAsia="仿宋_GB2312" w:cs="仿宋_GB2312"/>
          <w:color w:val="auto"/>
          <w:sz w:val="32"/>
          <w:szCs w:val="32"/>
          <w:lang w:val="en-US" w:eastAsia="zh-CN"/>
        </w:rPr>
        <w:t>135.15</w:t>
      </w:r>
      <w:r>
        <w:rPr>
          <w:rFonts w:hint="eastAsia" w:ascii="仿宋_GB2312" w:hAnsi="仿宋_GB2312" w:eastAsia="仿宋_GB2312" w:cs="仿宋_GB2312"/>
          <w:color w:val="auto"/>
          <w:sz w:val="32"/>
          <w:szCs w:val="32"/>
        </w:rPr>
        <w:t>万</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81.05</w:t>
      </w:r>
      <w:r>
        <w:rPr>
          <w:rFonts w:hint="eastAsia" w:ascii="仿宋_GB2312" w:hAnsi="仿宋_GB2312" w:eastAsia="仿宋_GB2312" w:cs="仿宋_GB2312"/>
          <w:sz w:val="32"/>
          <w:szCs w:val="32"/>
        </w:rPr>
        <w:t>%；社会保障和就业（类）支出</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万</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7.20</w:t>
      </w:r>
      <w:r>
        <w:rPr>
          <w:rFonts w:hint="eastAsia" w:ascii="仿宋_GB2312" w:hAnsi="仿宋_GB2312" w:eastAsia="仿宋_GB2312" w:cs="仿宋_GB2312"/>
          <w:sz w:val="32"/>
          <w:szCs w:val="32"/>
        </w:rPr>
        <w:t>%；住房保障（类）支出</w:t>
      </w:r>
      <w:r>
        <w:rPr>
          <w:rFonts w:hint="eastAsia" w:ascii="仿宋_GB2312" w:hAnsi="仿宋_GB2312" w:eastAsia="仿宋_GB2312" w:cs="仿宋_GB2312"/>
          <w:color w:val="auto"/>
          <w:sz w:val="32"/>
          <w:szCs w:val="32"/>
          <w:lang w:val="en-US" w:eastAsia="zh-CN"/>
        </w:rPr>
        <w:t>19.60</w:t>
      </w:r>
      <w:r>
        <w:rPr>
          <w:rFonts w:hint="eastAsia" w:ascii="仿宋_GB2312" w:hAnsi="仿宋_GB2312" w:eastAsia="仿宋_GB2312" w:cs="仿宋_GB2312"/>
          <w:color w:val="auto"/>
          <w:sz w:val="32"/>
          <w:szCs w:val="32"/>
        </w:rPr>
        <w:t>万</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11.75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560" w:lineRule="exact"/>
        <w:ind w:firstLine="643" w:firstLineChars="200"/>
        <w:textAlignment w:val="auto"/>
        <w:rPr>
          <w:rFonts w:hint="eastAsia" w:ascii="楷体" w:hAnsi="楷体" w:eastAsia="楷体" w:cs="楷体"/>
          <w:b/>
          <w:sz w:val="32"/>
          <w:szCs w:val="32"/>
        </w:rPr>
      </w:pPr>
      <w:r>
        <w:rPr>
          <w:rFonts w:hint="eastAsia" w:ascii="楷体" w:hAnsi="楷体" w:eastAsia="楷体" w:cs="楷体"/>
          <w:b/>
          <w:sz w:val="32"/>
          <w:szCs w:val="32"/>
        </w:rPr>
        <w:t>（三）财政拨款支出决算具体情况</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lang w:eastAsia="zh-CN"/>
        </w:rPr>
      </w:pPr>
      <w:r>
        <w:rPr>
          <w:rFonts w:hint="eastAsia" w:ascii="宋体" w:hAnsi="宋体" w:eastAsia="宋体"/>
          <w:color w:val="auto"/>
          <w:sz w:val="32"/>
          <w:szCs w:val="32"/>
        </w:rPr>
        <w:t>2</w:t>
      </w:r>
      <w:r>
        <w:rPr>
          <w:rFonts w:hint="eastAsia" w:ascii="仿宋_GB2312" w:hAnsi="仿宋_GB2312" w:eastAsia="仿宋_GB2312" w:cs="仿宋_GB2312"/>
          <w:color w:val="auto"/>
          <w:sz w:val="32"/>
          <w:szCs w:val="32"/>
        </w:rPr>
        <w:t>02</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年度财政拨款支出年初预算数为</w:t>
      </w:r>
      <w:r>
        <w:rPr>
          <w:rFonts w:hint="eastAsia" w:ascii="仿宋_GB2312" w:hAnsi="仿宋_GB2312" w:eastAsia="仿宋_GB2312" w:cs="仿宋_GB2312"/>
          <w:color w:val="auto"/>
          <w:sz w:val="32"/>
          <w:szCs w:val="32"/>
          <w:lang w:val="en-US" w:eastAsia="zh-CN"/>
        </w:rPr>
        <w:t>174</w:t>
      </w:r>
      <w:r>
        <w:rPr>
          <w:rFonts w:hint="eastAsia" w:ascii="仿宋_GB2312" w:hAnsi="仿宋_GB2312" w:eastAsia="仿宋_GB2312" w:cs="仿宋_GB2312"/>
          <w:color w:val="auto"/>
          <w:sz w:val="32"/>
          <w:szCs w:val="32"/>
        </w:rPr>
        <w:t>万元，支出决算数为</w:t>
      </w:r>
      <w:r>
        <w:rPr>
          <w:rFonts w:hint="eastAsia" w:ascii="仿宋_GB2312" w:hAnsi="仿宋_GB2312" w:eastAsia="仿宋_GB2312" w:cs="仿宋_GB2312"/>
          <w:color w:val="auto"/>
          <w:sz w:val="32"/>
          <w:szCs w:val="32"/>
          <w:lang w:val="en-US" w:eastAsia="zh-CN"/>
        </w:rPr>
        <w:t>166.75</w:t>
      </w:r>
      <w:r>
        <w:rPr>
          <w:rFonts w:hint="eastAsia" w:ascii="仿宋_GB2312" w:hAnsi="仿宋_GB2312" w:eastAsia="仿宋_GB2312" w:cs="仿宋_GB2312"/>
          <w:color w:val="auto"/>
          <w:sz w:val="32"/>
          <w:szCs w:val="32"/>
        </w:rPr>
        <w:t>元，完成年初预算的</w:t>
      </w:r>
      <w:r>
        <w:rPr>
          <w:rFonts w:hint="eastAsia" w:ascii="仿宋_GB2312" w:hAnsi="仿宋_GB2312" w:eastAsia="仿宋_GB2312" w:cs="仿宋_GB2312"/>
          <w:color w:val="auto"/>
          <w:sz w:val="32"/>
          <w:szCs w:val="32"/>
          <w:lang w:val="en-US" w:eastAsia="zh-CN"/>
        </w:rPr>
        <w:t>95.84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、科学技术支出（类）应用研究（款）机构运行（项） </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w:t>
      </w:r>
      <w:r>
        <w:rPr>
          <w:rFonts w:hint="eastAsia" w:ascii="仿宋_GB2312" w:hAnsi="仿宋_GB2312" w:eastAsia="仿宋_GB2312" w:cs="仿宋_GB2312"/>
          <w:color w:val="auto"/>
          <w:sz w:val="32"/>
          <w:szCs w:val="32"/>
          <w:lang w:val="en-US" w:eastAsia="zh-CN"/>
        </w:rPr>
        <w:t>107.40</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106.97万元</w:t>
      </w:r>
      <w:r>
        <w:rPr>
          <w:rFonts w:hint="eastAsia" w:ascii="仿宋_GB2312" w:hAnsi="仿宋_GB2312" w:eastAsia="仿宋_GB2312" w:cs="仿宋_GB2312"/>
          <w:color w:val="auto"/>
          <w:sz w:val="32"/>
          <w:szCs w:val="32"/>
        </w:rPr>
        <w:t>，完成年初预算的</w:t>
      </w:r>
      <w:r>
        <w:rPr>
          <w:rFonts w:hint="eastAsia" w:ascii="仿宋_GB2312" w:hAnsi="仿宋_GB2312" w:eastAsia="仿宋_GB2312" w:cs="仿宋_GB2312"/>
          <w:color w:val="auto"/>
          <w:sz w:val="32"/>
          <w:szCs w:val="32"/>
          <w:lang w:val="en-US" w:eastAsia="zh-CN"/>
        </w:rPr>
        <w:t>99.60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2、科学技术支出（类）应用研究（款）社会公益研究（项）</w:t>
      </w:r>
    </w:p>
    <w:p>
      <w:pPr>
        <w:keepNext w:val="0"/>
        <w:keepLines w:val="0"/>
        <w:pageBreakBefore w:val="0"/>
        <w:widowControl w:val="0"/>
        <w:shd w:val="clear" w:color="auto" w:fill="FFFFFF"/>
        <w:kinsoku/>
        <w:wordWrap/>
        <w:overflowPunct/>
        <w:topLinePunct w:val="0"/>
        <w:bidi w:val="0"/>
        <w:snapToGrid/>
        <w:spacing w:line="560" w:lineRule="exact"/>
        <w:ind w:firstLine="640" w:firstLineChars="200"/>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sz w:val="32"/>
          <w:szCs w:val="32"/>
        </w:rPr>
        <w:t>年初预算</w:t>
      </w:r>
      <w:r>
        <w:rPr>
          <w:rFonts w:hint="eastAsia" w:ascii="仿宋_GB2312" w:hAnsi="仿宋_GB2312" w:eastAsia="仿宋_GB2312" w:cs="仿宋_GB2312"/>
          <w:color w:val="auto"/>
          <w:sz w:val="32"/>
          <w:szCs w:val="32"/>
          <w:lang w:val="en-US" w:eastAsia="zh-CN"/>
        </w:rPr>
        <w:t>35</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26.14</w:t>
      </w:r>
      <w:r>
        <w:rPr>
          <w:rFonts w:hint="eastAsia" w:ascii="仿宋_GB2312" w:hAnsi="仿宋_GB2312" w:eastAsia="仿宋_GB2312" w:cs="仿宋_GB2312"/>
          <w:color w:val="auto"/>
          <w:sz w:val="32"/>
          <w:szCs w:val="32"/>
        </w:rPr>
        <w:t>万元，完成年初预算的</w:t>
      </w:r>
      <w:r>
        <w:rPr>
          <w:rFonts w:hint="eastAsia" w:ascii="仿宋_GB2312" w:hAnsi="仿宋_GB2312" w:eastAsia="仿宋_GB2312" w:cs="仿宋_GB2312"/>
          <w:color w:val="auto"/>
          <w:sz w:val="32"/>
          <w:szCs w:val="32"/>
          <w:lang w:val="en-US" w:eastAsia="zh-CN"/>
        </w:rPr>
        <w:t>74.69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，主要是因为疫情原因，公务接待和因公出国（境）支出减少。</w:t>
      </w:r>
    </w:p>
    <w:p>
      <w:pPr>
        <w:pStyle w:val="12"/>
        <w:keepNext w:val="0"/>
        <w:keepLines w:val="0"/>
        <w:pageBreakBefore w:val="0"/>
        <w:widowControl w:val="0"/>
        <w:numPr>
          <w:ilvl w:val="0"/>
          <w:numId w:val="1"/>
        </w:numPr>
        <w:kinsoku/>
        <w:wordWrap/>
        <w:overflowPunct/>
        <w:topLinePunct w:val="0"/>
        <w:autoSpaceDE w:val="0"/>
        <w:autoSpaceDN w:val="0"/>
        <w:bidi w:val="0"/>
        <w:adjustRightInd w:val="0"/>
        <w:snapToGrid/>
        <w:spacing w:line="56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科学技术支出（类）</w:t>
      </w:r>
      <w:r>
        <w:rPr>
          <w:rFonts w:hint="eastAsia" w:ascii="仿宋_GB2312" w:hAnsi="仿宋_GB2312" w:eastAsia="仿宋_GB2312" w:cs="仿宋_GB2312"/>
          <w:color w:val="auto"/>
          <w:sz w:val="32"/>
          <w:szCs w:val="32"/>
          <w:lang w:eastAsia="zh-CN"/>
        </w:rPr>
        <w:t>技术研究与开发</w:t>
      </w:r>
      <w:r>
        <w:rPr>
          <w:rFonts w:hint="eastAsia" w:ascii="仿宋_GB2312" w:hAnsi="仿宋_GB2312" w:eastAsia="仿宋_GB2312" w:cs="仿宋_GB2312"/>
          <w:color w:val="auto"/>
          <w:sz w:val="32"/>
          <w:szCs w:val="32"/>
        </w:rPr>
        <w:t>（款）</w:t>
      </w:r>
      <w:r>
        <w:rPr>
          <w:rFonts w:hint="eastAsia" w:ascii="仿宋_GB2312" w:hAnsi="仿宋_GB2312" w:eastAsia="仿宋_GB2312" w:cs="仿宋_GB2312"/>
          <w:color w:val="auto"/>
          <w:sz w:val="32"/>
          <w:szCs w:val="32"/>
          <w:lang w:eastAsia="zh-CN"/>
        </w:rPr>
        <w:t>其他技术研究与开发支出</w:t>
      </w:r>
      <w:r>
        <w:rPr>
          <w:rFonts w:hint="eastAsia" w:ascii="仿宋_GB2312" w:hAnsi="仿宋_GB2312" w:eastAsia="仿宋_GB2312" w:cs="仿宋_GB2312"/>
          <w:color w:val="auto"/>
          <w:sz w:val="32"/>
          <w:szCs w:val="32"/>
        </w:rPr>
        <w:t>（项）</w:t>
      </w:r>
    </w:p>
    <w:p>
      <w:pPr>
        <w:pStyle w:val="12"/>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firstLine="640" w:firstLineChars="200"/>
        <w:jc w:val="lef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年初预算0万元，支出决算2.04万元，决算数大于预算数的主要原因是</w:t>
      </w:r>
      <w:r>
        <w:rPr>
          <w:rFonts w:hint="eastAsia" w:ascii="仿宋_GB2312" w:hAnsi="仿宋_GB2312" w:eastAsia="仿宋_GB2312" w:cs="仿宋_GB2312"/>
          <w:color w:val="auto"/>
          <w:kern w:val="0"/>
          <w:sz w:val="32"/>
          <w:szCs w:val="32"/>
          <w:lang w:val="en-US" w:eastAsia="zh-CN" w:bidi="ar-SA"/>
        </w:rPr>
        <w:t>使用上年结转的财政拨款用于相关项目的支出。</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、社会保障和就业支出（类）行政事业单位养老支出（款）机关事业单位基本养老保险缴费支出（项）</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年初预算12万元，支出决算12万元，完成年初预算的100.00%。</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、住房保障支出（类）住房改革支出（款）住房公积金（项）</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万元，支出决算</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万元，完成年初预算的100%。</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、住房保障支出（类）住房改革支出（款）购房补贴（项）</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年初预算</w:t>
      </w:r>
      <w:r>
        <w:rPr>
          <w:rFonts w:hint="eastAsia" w:ascii="仿宋_GB2312" w:hAnsi="仿宋_GB2312" w:eastAsia="仿宋_GB2312" w:cs="仿宋_GB2312"/>
          <w:color w:val="auto"/>
          <w:sz w:val="32"/>
          <w:szCs w:val="32"/>
          <w:lang w:val="en-US" w:eastAsia="zh-CN"/>
        </w:rPr>
        <w:t>7.60</w:t>
      </w:r>
      <w:r>
        <w:rPr>
          <w:rFonts w:hint="eastAsia" w:ascii="仿宋_GB2312" w:hAnsi="仿宋_GB2312" w:eastAsia="仿宋_GB2312" w:cs="仿宋_GB2312"/>
          <w:color w:val="auto"/>
          <w:sz w:val="32"/>
          <w:szCs w:val="32"/>
        </w:rPr>
        <w:t>万元，支出决算为</w:t>
      </w:r>
      <w:r>
        <w:rPr>
          <w:rFonts w:hint="eastAsia" w:ascii="仿宋_GB2312" w:hAnsi="仿宋_GB2312" w:eastAsia="仿宋_GB2312" w:cs="仿宋_GB2312"/>
          <w:color w:val="auto"/>
          <w:sz w:val="32"/>
          <w:szCs w:val="32"/>
          <w:lang w:val="en-US" w:eastAsia="zh-CN"/>
        </w:rPr>
        <w:t>7.60</w:t>
      </w:r>
      <w:r>
        <w:rPr>
          <w:rFonts w:hint="eastAsia" w:ascii="仿宋_GB2312" w:hAnsi="仿宋_GB2312" w:eastAsia="仿宋_GB2312" w:cs="仿宋_GB2312"/>
          <w:color w:val="auto"/>
          <w:sz w:val="32"/>
          <w:szCs w:val="32"/>
        </w:rPr>
        <w:t>万元，完成年初预算的100%。</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六、一般公共预算财政拨款基本支出决算情况说明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color w:val="auto"/>
          <w:sz w:val="32"/>
          <w:szCs w:val="32"/>
          <w:lang w:val="en-US" w:eastAsia="zh-CN"/>
        </w:rPr>
        <w:t>138.57</w:t>
      </w:r>
      <w:r>
        <w:rPr>
          <w:rFonts w:hint="eastAsia" w:ascii="仿宋_GB2312" w:hAnsi="仿宋_GB2312" w:eastAsia="仿宋_GB2312" w:cs="仿宋_GB2312"/>
          <w:color w:val="auto"/>
          <w:sz w:val="32"/>
          <w:szCs w:val="32"/>
        </w:rPr>
        <w:t>万</w:t>
      </w:r>
      <w:r>
        <w:rPr>
          <w:rFonts w:hint="eastAsia" w:ascii="仿宋_GB2312" w:hAnsi="仿宋_GB2312" w:eastAsia="仿宋_GB2312" w:cs="仿宋_GB2312"/>
          <w:sz w:val="32"/>
          <w:szCs w:val="32"/>
        </w:rPr>
        <w:t>元，其中：人员经费</w:t>
      </w:r>
      <w:r>
        <w:rPr>
          <w:rFonts w:hint="eastAsia" w:ascii="仿宋_GB2312" w:hAnsi="仿宋_GB2312" w:eastAsia="仿宋_GB2312" w:cs="仿宋_GB2312"/>
          <w:sz w:val="32"/>
          <w:szCs w:val="32"/>
          <w:lang w:val="en-US" w:eastAsia="zh-CN"/>
        </w:rPr>
        <w:t>130.87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94.44</w:t>
      </w:r>
      <w:r>
        <w:rPr>
          <w:rFonts w:hint="eastAsia" w:ascii="仿宋_GB2312" w:hAnsi="仿宋_GB2312" w:eastAsia="仿宋_GB2312" w:cs="仿宋_GB2312"/>
          <w:sz w:val="32"/>
          <w:szCs w:val="32"/>
        </w:rPr>
        <w:t>%,主要包括基本工资、津贴补贴、奖金、绩效工资、机关事业单位基本养老保险缴费、职工基本医疗保险缴费</w:t>
      </w:r>
      <w:r>
        <w:rPr>
          <w:rFonts w:hint="eastAsia" w:ascii="仿宋_GB2312" w:hAnsi="仿宋_GB2312" w:eastAsia="仿宋_GB2312" w:cs="仿宋_GB2312"/>
          <w:sz w:val="32"/>
          <w:szCs w:val="32"/>
          <w:lang w:eastAsia="zh-CN"/>
        </w:rPr>
        <w:t>、其他社会保障缴费、</w:t>
      </w:r>
      <w:r>
        <w:rPr>
          <w:rFonts w:hint="eastAsia" w:ascii="仿宋_GB2312" w:hAnsi="仿宋_GB2312" w:eastAsia="仿宋_GB2312" w:cs="仿宋_GB2312"/>
          <w:sz w:val="32"/>
          <w:szCs w:val="32"/>
        </w:rPr>
        <w:t>医疗费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其他工资福利支出、退休费、奖励金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住房公积金、其他对个人和家庭的补助支出；公用经费</w:t>
      </w:r>
      <w:r>
        <w:rPr>
          <w:rFonts w:hint="eastAsia" w:ascii="仿宋_GB2312" w:hAnsi="仿宋_GB2312" w:eastAsia="仿宋_GB2312" w:cs="仿宋_GB2312"/>
          <w:sz w:val="32"/>
          <w:szCs w:val="32"/>
          <w:lang w:val="en-US" w:eastAsia="zh-CN"/>
        </w:rPr>
        <w:t>7.7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5.56</w:t>
      </w:r>
      <w:r>
        <w:rPr>
          <w:rFonts w:hint="eastAsia" w:ascii="仿宋_GB2312" w:hAnsi="仿宋_GB2312" w:eastAsia="仿宋_GB2312" w:cs="仿宋_GB2312"/>
          <w:sz w:val="32"/>
          <w:szCs w:val="32"/>
        </w:rPr>
        <w:t>%，主要包括</w:t>
      </w:r>
      <w:r>
        <w:rPr>
          <w:rFonts w:hint="eastAsia" w:ascii="仿宋_GB2312" w:hAnsi="仿宋_GB2312" w:eastAsia="仿宋_GB2312" w:cs="仿宋_GB2312"/>
          <w:sz w:val="32"/>
          <w:szCs w:val="32"/>
          <w:lang w:eastAsia="zh-CN"/>
        </w:rPr>
        <w:t>办公用房取暖费、差旅费、</w:t>
      </w:r>
      <w:r>
        <w:rPr>
          <w:rFonts w:hint="eastAsia" w:ascii="仿宋_GB2312" w:hAnsi="仿宋_GB2312" w:eastAsia="仿宋_GB2312" w:cs="仿宋_GB2312"/>
          <w:sz w:val="32"/>
          <w:szCs w:val="32"/>
        </w:rPr>
        <w:t>邮电费、工会经费、福利费、其他商品和服务支出</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w:t>
      </w:r>
    </w:p>
    <w:p>
      <w:pPr>
        <w:pStyle w:val="12"/>
        <w:keepNext w:val="0"/>
        <w:keepLines w:val="0"/>
        <w:pageBreakBefore w:val="0"/>
        <w:widowControl w:val="0"/>
        <w:numPr>
          <w:ilvl w:val="0"/>
          <w:numId w:val="2"/>
        </w:numPr>
        <w:kinsoku/>
        <w:wordWrap/>
        <w:overflowPunct/>
        <w:topLinePunct w:val="0"/>
        <w:autoSpaceDE w:val="0"/>
        <w:autoSpaceDN w:val="0"/>
        <w:bidi w:val="0"/>
        <w:adjustRightInd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一般公共预算财政拨款三公经费支出决算情况说明</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楷体" w:hAnsi="楷体" w:eastAsia="楷体" w:cs="楷体"/>
          <w:b/>
          <w:sz w:val="32"/>
          <w:szCs w:val="32"/>
        </w:rPr>
      </w:pPr>
      <w:r>
        <w:rPr>
          <w:rFonts w:hint="eastAsia" w:ascii="楷体" w:hAnsi="楷体" w:eastAsia="楷体" w:cs="楷体"/>
          <w:b w:val="0"/>
          <w:bCs/>
          <w:sz w:val="32"/>
          <w:szCs w:val="32"/>
        </w:rPr>
        <w:t>（一）“三公”经费财政拨款支出决算总体情况说明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宋体" w:hAnsi="宋体" w:eastAsia="宋体"/>
          <w:sz w:val="32"/>
          <w:szCs w:val="32"/>
        </w:rPr>
        <w:t>“</w:t>
      </w: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1.12</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11.20</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因公出国（境）费支出预算为</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万元，主</w:t>
      </w:r>
      <w:r>
        <w:rPr>
          <w:rFonts w:hint="eastAsia" w:ascii="仿宋_GB2312" w:hAnsi="仿宋_GB2312" w:eastAsia="仿宋_GB2312" w:cs="仿宋_GB2312"/>
          <w:sz w:val="32"/>
          <w:szCs w:val="32"/>
          <w:lang w:eastAsia="zh-CN"/>
        </w:rPr>
        <w:t>要是</w:t>
      </w:r>
      <w:r>
        <w:rPr>
          <w:rFonts w:hint="eastAsia" w:ascii="仿宋_GB2312" w:hAnsi="仿宋_GB2312" w:eastAsia="仿宋_GB2312" w:cs="仿宋_GB2312"/>
          <w:sz w:val="32"/>
          <w:szCs w:val="32"/>
          <w:lang w:val="en-US" w:eastAsia="zh-CN"/>
        </w:rPr>
        <w:t>因</w:t>
      </w:r>
      <w:r>
        <w:rPr>
          <w:rFonts w:hint="eastAsia" w:ascii="仿宋_GB2312" w:hAnsi="宋体" w:eastAsia="仿宋_GB2312" w:cs="宋体"/>
          <w:color w:val="000000"/>
          <w:kern w:val="0"/>
          <w:sz w:val="32"/>
          <w:szCs w:val="32"/>
        </w:rPr>
        <w:t>疫情原因，</w:t>
      </w:r>
      <w:r>
        <w:rPr>
          <w:rFonts w:hint="eastAsia" w:ascii="仿宋_GB2312" w:hAnsi="宋体" w:eastAsia="仿宋_GB2312" w:cs="宋体"/>
          <w:color w:val="000000"/>
          <w:kern w:val="0"/>
          <w:sz w:val="32"/>
          <w:szCs w:val="32"/>
          <w:lang w:val="en-US" w:eastAsia="zh-CN"/>
        </w:rPr>
        <w:t>2021年中</w:t>
      </w:r>
      <w:r>
        <w:rPr>
          <w:rFonts w:hint="eastAsia" w:ascii="仿宋_GB2312" w:hAnsi="宋体" w:eastAsia="仿宋_GB2312" w:cs="宋体"/>
          <w:color w:val="000000"/>
          <w:kern w:val="0"/>
          <w:sz w:val="32"/>
          <w:szCs w:val="32"/>
          <w:lang w:eastAsia="zh-CN"/>
        </w:rPr>
        <w:t>心只组织一个团组，累计</w:t>
      </w:r>
      <w:r>
        <w:rPr>
          <w:rFonts w:hint="eastAsia" w:ascii="仿宋_GB2312" w:hAnsi="宋体" w:eastAsia="仿宋_GB2312" w:cs="宋体"/>
          <w:color w:val="000000"/>
          <w:kern w:val="0"/>
          <w:sz w:val="32"/>
          <w:szCs w:val="32"/>
          <w:lang w:val="en-US" w:eastAsia="zh-CN"/>
        </w:rPr>
        <w:t>2人次</w:t>
      </w:r>
      <w:r>
        <w:rPr>
          <w:rFonts w:hint="eastAsia" w:ascii="仿宋_GB2312" w:hAnsi="仿宋_GB2312" w:eastAsia="仿宋_GB2312" w:cs="仿宋_GB2312"/>
          <w:color w:val="auto"/>
          <w:spacing w:val="-4"/>
          <w:kern w:val="2"/>
          <w:sz w:val="32"/>
          <w:szCs w:val="32"/>
          <w:lang w:val="en-US" w:eastAsia="zh-CN" w:bidi="ar-SA"/>
        </w:rPr>
        <w:t>，赴澳门参加内地与澳门产学研项目合作对接，其余出国计划全部取消。</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2万</w:t>
      </w:r>
      <w:r>
        <w:rPr>
          <w:rFonts w:hint="eastAsia" w:ascii="仿宋_GB2312" w:hAnsi="仿宋_GB2312" w:eastAsia="仿宋_GB2312" w:cs="仿宋_GB2312"/>
          <w:sz w:val="32"/>
          <w:szCs w:val="32"/>
        </w:rPr>
        <w:t>元，支出决算为</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14.00</w:t>
      </w:r>
      <w:r>
        <w:rPr>
          <w:rFonts w:hint="eastAsia" w:ascii="仿宋_GB2312" w:hAnsi="仿宋_GB2312" w:eastAsia="仿宋_GB2312" w:cs="仿宋_GB2312"/>
          <w:sz w:val="32"/>
          <w:szCs w:val="32"/>
        </w:rPr>
        <w:t>%，决算数小于预算数的主要原因是202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年受疫情影响，</w:t>
      </w:r>
      <w:r>
        <w:rPr>
          <w:rFonts w:hint="eastAsia" w:ascii="仿宋_GB2312" w:hAnsi="仿宋_GB2312" w:eastAsia="仿宋_GB2312" w:cs="仿宋_GB2312"/>
          <w:sz w:val="32"/>
          <w:szCs w:val="32"/>
          <w:lang w:eastAsia="zh-CN"/>
        </w:rPr>
        <w:t>接待省外科技调研、召开集中现场会议等</w:t>
      </w:r>
      <w:r>
        <w:rPr>
          <w:rFonts w:hint="eastAsia" w:ascii="仿宋_GB2312" w:hAnsi="仿宋_GB2312" w:eastAsia="仿宋_GB2312" w:cs="仿宋_GB2312"/>
          <w:sz w:val="32"/>
          <w:szCs w:val="32"/>
        </w:rPr>
        <w:t>公务活动减少</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公务用车购置费及运行维护费支出预算为</w:t>
      </w:r>
      <w:r>
        <w:rPr>
          <w:rFonts w:hint="eastAsia" w:ascii="仿宋_GB2312" w:hAnsi="仿宋_GB2312" w:eastAsia="仿宋_GB2312" w:cs="仿宋_GB2312"/>
          <w:sz w:val="32"/>
          <w:szCs w:val="32"/>
          <w:lang w:val="en-US" w:eastAsia="zh-CN"/>
        </w:rPr>
        <w:t>0万元，支出决算为0万元，公务用车保有量为0辆。</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（二）“三公”经费财政拨款支出决算具体情况说明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万元，占</w:t>
      </w:r>
      <w:r>
        <w:rPr>
          <w:rFonts w:hint="eastAsia" w:ascii="仿宋_GB2312" w:hAnsi="仿宋_GB2312" w:eastAsia="仿宋_GB2312" w:cs="仿宋_GB2312"/>
          <w:color w:val="auto"/>
          <w:sz w:val="32"/>
          <w:szCs w:val="32"/>
          <w:lang w:val="en-US" w:eastAsia="zh-CN"/>
        </w:rPr>
        <w:t>25</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因公出国（境）费支出决算</w:t>
      </w:r>
      <w:r>
        <w:rPr>
          <w:rFonts w:hint="eastAsia" w:ascii="仿宋_GB2312" w:hAnsi="仿宋_GB2312" w:eastAsia="仿宋_GB2312" w:cs="仿宋_GB2312"/>
          <w:color w:val="auto"/>
          <w:sz w:val="32"/>
          <w:szCs w:val="32"/>
          <w:lang w:val="en-US" w:eastAsia="zh-CN"/>
        </w:rPr>
        <w:t>0.84</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75</w:t>
      </w:r>
      <w:r>
        <w:rPr>
          <w:rFonts w:hint="eastAsia" w:ascii="仿宋_GB2312" w:hAnsi="仿宋_GB2312" w:eastAsia="仿宋_GB2312" w:cs="仿宋_GB2312"/>
          <w:color w:val="auto"/>
          <w:sz w:val="32"/>
          <w:szCs w:val="32"/>
        </w:rPr>
        <w:t>%,公务用车购置费及运行维护费支出决算</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%。其中：</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color w:val="auto"/>
          <w:spacing w:val="-4"/>
          <w:kern w:val="2"/>
          <w:sz w:val="32"/>
          <w:szCs w:val="32"/>
          <w:lang w:val="en-US" w:eastAsia="zh-CN" w:bidi="ar-SA"/>
        </w:rPr>
      </w:pPr>
      <w:r>
        <w:rPr>
          <w:rFonts w:hint="eastAsia" w:ascii="仿宋_GB2312" w:hAnsi="仿宋_GB2312" w:eastAsia="仿宋_GB2312" w:cs="仿宋_GB2312"/>
          <w:sz w:val="32"/>
          <w:szCs w:val="32"/>
        </w:rPr>
        <w:t>1、因公出国（境）费支出决算为</w:t>
      </w:r>
      <w:r>
        <w:rPr>
          <w:rFonts w:hint="eastAsia" w:ascii="仿宋_GB2312" w:hAnsi="仿宋_GB2312" w:eastAsia="仿宋_GB2312" w:cs="仿宋_GB2312"/>
          <w:sz w:val="32"/>
          <w:szCs w:val="32"/>
          <w:lang w:val="en-US" w:eastAsia="zh-CN"/>
        </w:rPr>
        <w:t>0.84</w:t>
      </w:r>
      <w:r>
        <w:rPr>
          <w:rFonts w:hint="eastAsia" w:ascii="仿宋_GB2312" w:hAnsi="仿宋_GB2312" w:eastAsia="仿宋_GB2312" w:cs="仿宋_GB2312"/>
          <w:sz w:val="32"/>
          <w:szCs w:val="32"/>
        </w:rPr>
        <w:t>万元，主</w:t>
      </w:r>
      <w:r>
        <w:rPr>
          <w:rFonts w:hint="eastAsia" w:ascii="仿宋_GB2312" w:hAnsi="仿宋_GB2312" w:eastAsia="仿宋_GB2312" w:cs="仿宋_GB2312"/>
          <w:sz w:val="32"/>
          <w:szCs w:val="32"/>
          <w:lang w:eastAsia="zh-CN"/>
        </w:rPr>
        <w:t>要是</w:t>
      </w:r>
      <w:r>
        <w:rPr>
          <w:rFonts w:hint="eastAsia" w:ascii="仿宋_GB2312" w:hAnsi="仿宋_GB2312" w:eastAsia="仿宋_GB2312" w:cs="仿宋_GB2312"/>
          <w:sz w:val="32"/>
          <w:szCs w:val="32"/>
          <w:lang w:val="en-US" w:eastAsia="zh-CN"/>
        </w:rPr>
        <w:t>因</w:t>
      </w:r>
      <w:r>
        <w:rPr>
          <w:rFonts w:hint="eastAsia" w:ascii="仿宋_GB2312" w:hAnsi="宋体" w:eastAsia="仿宋_GB2312" w:cs="宋体"/>
          <w:color w:val="000000"/>
          <w:kern w:val="0"/>
          <w:sz w:val="32"/>
          <w:szCs w:val="32"/>
        </w:rPr>
        <w:t>疫情原因，</w:t>
      </w:r>
      <w:r>
        <w:rPr>
          <w:rFonts w:hint="eastAsia" w:ascii="仿宋_GB2312" w:hAnsi="宋体" w:eastAsia="仿宋_GB2312" w:cs="宋体"/>
          <w:color w:val="000000"/>
          <w:kern w:val="0"/>
          <w:sz w:val="32"/>
          <w:szCs w:val="32"/>
          <w:lang w:val="en-US" w:eastAsia="zh-CN"/>
        </w:rPr>
        <w:t>2021年中</w:t>
      </w:r>
      <w:r>
        <w:rPr>
          <w:rFonts w:hint="eastAsia" w:ascii="仿宋_GB2312" w:hAnsi="宋体" w:eastAsia="仿宋_GB2312" w:cs="宋体"/>
          <w:color w:val="000000"/>
          <w:kern w:val="0"/>
          <w:sz w:val="32"/>
          <w:szCs w:val="32"/>
          <w:lang w:eastAsia="zh-CN"/>
        </w:rPr>
        <w:t>心只组织一个团组，累计</w:t>
      </w:r>
      <w:r>
        <w:rPr>
          <w:rFonts w:hint="eastAsia" w:ascii="仿宋_GB2312" w:hAnsi="宋体" w:eastAsia="仿宋_GB2312" w:cs="宋体"/>
          <w:color w:val="000000"/>
          <w:kern w:val="0"/>
          <w:sz w:val="32"/>
          <w:szCs w:val="32"/>
          <w:lang w:val="en-US" w:eastAsia="zh-CN"/>
        </w:rPr>
        <w:t>2人次</w:t>
      </w:r>
      <w:r>
        <w:rPr>
          <w:rFonts w:hint="eastAsia" w:ascii="仿宋_GB2312" w:hAnsi="仿宋_GB2312" w:eastAsia="仿宋_GB2312" w:cs="仿宋_GB2312"/>
          <w:color w:val="auto"/>
          <w:spacing w:val="-4"/>
          <w:kern w:val="2"/>
          <w:sz w:val="32"/>
          <w:szCs w:val="32"/>
          <w:lang w:val="en-US" w:eastAsia="zh-CN" w:bidi="ar-SA"/>
        </w:rPr>
        <w:t>，赴澳门参加内地与澳门产学研项目合作对接，其余出国计划全部取消。</w:t>
      </w:r>
    </w:p>
    <w:p>
      <w:pPr>
        <w:spacing w:line="560" w:lineRule="exact"/>
        <w:ind w:firstLine="640" w:firstLineChars="200"/>
        <w:jc w:val="left"/>
        <w:rPr>
          <w:rFonts w:hint="eastAsia" w:ascii="仿宋_GB2312" w:hAnsi="仿宋_GB2312" w:eastAsia="仿宋_GB2312" w:cs="仿宋_GB2312"/>
          <w:spacing w:val="-4"/>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0.28</w:t>
      </w:r>
      <w:r>
        <w:rPr>
          <w:rFonts w:hint="eastAsia" w:ascii="仿宋_GB2312" w:hAnsi="仿宋_GB2312" w:eastAsia="仿宋_GB2312" w:cs="仿宋_GB2312"/>
          <w:sz w:val="32"/>
          <w:szCs w:val="32"/>
        </w:rPr>
        <w:t>万元，</w:t>
      </w:r>
      <w:r>
        <w:rPr>
          <w:rFonts w:hint="eastAsia" w:ascii="仿宋_GB2312" w:hAnsi="仿宋_GB2312" w:eastAsia="仿宋_GB2312" w:cs="仿宋_GB2312"/>
          <w:spacing w:val="-4"/>
          <w:sz w:val="32"/>
          <w:szCs w:val="32"/>
        </w:rPr>
        <w:t>全年共接待来访团组</w:t>
      </w:r>
      <w:r>
        <w:rPr>
          <w:rFonts w:hint="eastAsia" w:ascii="仿宋_GB2312" w:hAnsi="仿宋_GB2312" w:eastAsia="仿宋_GB2312" w:cs="仿宋_GB2312"/>
          <w:spacing w:val="-4"/>
          <w:sz w:val="32"/>
          <w:szCs w:val="32"/>
          <w:lang w:val="en-US" w:eastAsia="zh-CN"/>
        </w:rPr>
        <w:t>2</w:t>
      </w:r>
      <w:r>
        <w:rPr>
          <w:rFonts w:hint="eastAsia" w:ascii="仿宋_GB2312" w:hAnsi="仿宋_GB2312" w:eastAsia="仿宋_GB2312" w:cs="仿宋_GB2312"/>
          <w:spacing w:val="-4"/>
          <w:sz w:val="32"/>
          <w:szCs w:val="32"/>
        </w:rPr>
        <w:t>个、来宾</w:t>
      </w:r>
      <w:r>
        <w:rPr>
          <w:rFonts w:hint="eastAsia" w:ascii="仿宋_GB2312" w:hAnsi="仿宋_GB2312" w:eastAsia="仿宋_GB2312" w:cs="仿宋_GB2312"/>
          <w:spacing w:val="-4"/>
          <w:sz w:val="32"/>
          <w:szCs w:val="32"/>
          <w:lang w:val="en-US" w:eastAsia="zh-CN"/>
        </w:rPr>
        <w:t>8</w:t>
      </w:r>
      <w:r>
        <w:rPr>
          <w:rFonts w:hint="eastAsia" w:ascii="仿宋_GB2312" w:hAnsi="仿宋_GB2312" w:eastAsia="仿宋_GB2312" w:cs="仿宋_GB2312"/>
          <w:spacing w:val="-4"/>
          <w:sz w:val="32"/>
          <w:szCs w:val="32"/>
        </w:rPr>
        <w:t>人次，主要是接待</w:t>
      </w:r>
      <w:r>
        <w:rPr>
          <w:rFonts w:hint="eastAsia" w:ascii="仿宋_GB2312" w:hAnsi="仿宋_GB2312" w:eastAsia="仿宋_GB2312" w:cs="仿宋_GB2312"/>
          <w:spacing w:val="-4"/>
          <w:sz w:val="32"/>
          <w:szCs w:val="32"/>
          <w:lang w:eastAsia="zh-CN"/>
        </w:rPr>
        <w:t>上海六七八九集团和</w:t>
      </w:r>
      <w:r>
        <w:rPr>
          <w:rFonts w:hint="eastAsia" w:ascii="仿宋_GB2312" w:hAnsi="仿宋_GB2312" w:eastAsia="仿宋_GB2312" w:cs="仿宋_GB2312"/>
          <w:spacing w:val="-4"/>
          <w:sz w:val="32"/>
          <w:szCs w:val="32"/>
        </w:rPr>
        <w:t>联合国南南办</w:t>
      </w:r>
      <w:r>
        <w:rPr>
          <w:rFonts w:hint="eastAsia" w:ascii="仿宋_GB2312" w:hAnsi="仿宋_GB2312" w:eastAsia="仿宋_GB2312" w:cs="仿宋_GB2312"/>
          <w:spacing w:val="-4"/>
          <w:sz w:val="32"/>
          <w:szCs w:val="32"/>
          <w:lang w:eastAsia="zh-CN"/>
        </w:rPr>
        <w:t>一行</w:t>
      </w:r>
      <w:r>
        <w:rPr>
          <w:rFonts w:hint="eastAsia" w:ascii="仿宋_GB2312" w:hAnsi="仿宋_GB2312" w:eastAsia="仿宋_GB2312" w:cs="仿宋_GB2312"/>
          <w:spacing w:val="-4"/>
          <w:sz w:val="32"/>
          <w:szCs w:val="32"/>
        </w:rPr>
        <w:t>等发生的接待支出。</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24"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pacing w:val="-4"/>
          <w:sz w:val="32"/>
          <w:szCs w:val="32"/>
          <w:lang w:val="en-US" w:eastAsia="zh-CN"/>
        </w:rPr>
        <w:t>3、</w:t>
      </w:r>
      <w:r>
        <w:rPr>
          <w:rFonts w:hint="eastAsia" w:ascii="仿宋_GB2312" w:hAnsi="仿宋_GB2312" w:eastAsia="仿宋_GB2312" w:cs="仿宋_GB2312"/>
          <w:sz w:val="32"/>
          <w:szCs w:val="32"/>
          <w:lang w:eastAsia="zh-CN"/>
        </w:rPr>
        <w:t>公务用车购置费及运行维护费支出决算为</w:t>
      </w:r>
      <w:r>
        <w:rPr>
          <w:rFonts w:hint="eastAsia" w:ascii="仿宋_GB2312" w:hAnsi="仿宋_GB2312" w:eastAsia="仿宋_GB2312" w:cs="仿宋_GB2312"/>
          <w:sz w:val="32"/>
          <w:szCs w:val="32"/>
          <w:lang w:val="en-US" w:eastAsia="zh-CN"/>
        </w:rPr>
        <w:t>0万元，</w:t>
      </w:r>
      <w:r>
        <w:rPr>
          <w:rFonts w:hint="eastAsia" w:ascii="Times New Roman" w:hAnsi="Times New Roman" w:eastAsia="仿宋_GB2312"/>
          <w:sz w:val="32"/>
          <w:szCs w:val="32"/>
        </w:rPr>
        <w:t>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eastAsia="zh-CN"/>
        </w:rPr>
        <w:t>本中心更新公务用车</w:t>
      </w:r>
      <w:r>
        <w:rPr>
          <w:rFonts w:hint="eastAsia" w:ascii="Times New Roman" w:hAnsi="Times New Roman" w:eastAsia="仿宋_GB2312"/>
          <w:sz w:val="32"/>
          <w:szCs w:val="32"/>
          <w:lang w:val="en-US" w:eastAsia="zh-CN"/>
        </w:rPr>
        <w:t>0辆</w:t>
      </w:r>
      <w:r>
        <w:rPr>
          <w:rFonts w:hint="eastAsia" w:ascii="仿宋_GB2312" w:hAnsi="仿宋_GB2312" w:eastAsia="仿宋_GB2312" w:cs="仿宋_GB2312"/>
          <w:spacing w:val="-4"/>
          <w:sz w:val="32"/>
          <w:szCs w:val="32"/>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仿宋_GB2312" w:hAnsi="仿宋_GB2312" w:eastAsia="仿宋_GB2312" w:cs="仿宋_GB2312"/>
          <w:sz w:val="32"/>
          <w:szCs w:val="32"/>
          <w:lang w:val="en-US" w:eastAsia="zh-CN"/>
        </w:rPr>
        <w:t>截止2021年12月31日，我单位开支财政拨款的公务用车保有量为0辆。</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八、政府性基金预算收入支出决算情况</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Times New Roman" w:hAnsi="Times New Roman" w:eastAsia="仿宋_GB2312" w:cs="Times New Roman"/>
          <w:sz w:val="32"/>
          <w:szCs w:val="32"/>
          <w:lang w:eastAsia="zh-CN"/>
        </w:rPr>
        <w:t>本单位无</w:t>
      </w:r>
      <w:r>
        <w:rPr>
          <w:rFonts w:hint="eastAsia" w:ascii="Times New Roman" w:hAnsi="Times New Roman" w:eastAsia="仿宋_GB2312" w:cs="Times New Roman"/>
          <w:sz w:val="32"/>
          <w:szCs w:val="32"/>
          <w:lang w:val="en-US" w:eastAsia="zh-CN"/>
        </w:rPr>
        <w:t>政府性基金收支</w:t>
      </w:r>
      <w:r>
        <w:rPr>
          <w:rFonts w:hint="default" w:ascii="Times New Roman" w:hAnsi="Times New Roman" w:eastAsia="仿宋_GB2312" w:cs="Times New Roman"/>
          <w:sz w:val="32"/>
          <w:szCs w:val="32"/>
          <w:lang w:eastAsia="zh-CN"/>
        </w:rPr>
        <w:t>。</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九、关于机关运行经费支出说明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default" w:ascii="Times New Roman" w:hAnsi="Times New Roman" w:eastAsia="仿宋_GB2312" w:cs="Times New Roman"/>
          <w:sz w:val="32"/>
          <w:szCs w:val="32"/>
          <w:lang w:eastAsia="zh-CN"/>
        </w:rPr>
        <w:t>本单位无机关运行经费支出。</w:t>
      </w:r>
    </w:p>
    <w:p>
      <w:pPr>
        <w:pStyle w:val="12"/>
        <w:keepNext w:val="0"/>
        <w:keepLines w:val="0"/>
        <w:pageBreakBefore w:val="0"/>
        <w:widowControl w:val="0"/>
        <w:numPr>
          <w:ilvl w:val="0"/>
          <w:numId w:val="3"/>
        </w:numPr>
        <w:kinsoku/>
        <w:wordWrap/>
        <w:overflowPunct/>
        <w:topLinePunct w:val="0"/>
        <w:bidi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一般性支出情况</w:t>
      </w:r>
    </w:p>
    <w:p>
      <w:pPr>
        <w:snapToGrid w:val="0"/>
        <w:spacing w:line="560" w:lineRule="exact"/>
        <w:ind w:firstLine="624" w:firstLineChars="200"/>
        <w:rPr>
          <w:rFonts w:ascii="仿宋_GB2312" w:hAnsi="仿宋_GB2312" w:eastAsia="仿宋_GB2312" w:cs="仿宋_GB2312"/>
          <w:spacing w:val="-4"/>
          <w:sz w:val="32"/>
          <w:szCs w:val="32"/>
        </w:rPr>
      </w:pPr>
      <w:r>
        <w:rPr>
          <w:rFonts w:hint="eastAsia" w:ascii="Times New Roman" w:hAnsi="Times New Roman" w:eastAsia="仿宋_GB2312" w:cs="Times New Roman"/>
          <w:spacing w:val="-4"/>
          <w:sz w:val="32"/>
          <w:szCs w:val="32"/>
        </w:rPr>
        <w:t>2</w:t>
      </w:r>
      <w:r>
        <w:rPr>
          <w:rFonts w:hint="eastAsia" w:ascii="仿宋_GB2312" w:hAnsi="仿宋_GB2312" w:eastAsia="仿宋_GB2312" w:cs="仿宋_GB2312"/>
          <w:spacing w:val="-4"/>
          <w:sz w:val="32"/>
          <w:szCs w:val="32"/>
        </w:rPr>
        <w:t>02</w:t>
      </w:r>
      <w:r>
        <w:rPr>
          <w:rFonts w:hint="eastAsia" w:ascii="仿宋_GB2312" w:hAnsi="仿宋_GB2312" w:eastAsia="仿宋_GB2312" w:cs="仿宋_GB2312"/>
          <w:spacing w:val="-4"/>
          <w:sz w:val="32"/>
          <w:szCs w:val="32"/>
          <w:lang w:val="en-US" w:eastAsia="zh-CN"/>
        </w:rPr>
        <w:t>1</w:t>
      </w:r>
      <w:r>
        <w:rPr>
          <w:rFonts w:hint="eastAsia" w:ascii="仿宋_GB2312" w:hAnsi="仿宋_GB2312" w:eastAsia="仿宋_GB2312" w:cs="仿宋_GB2312"/>
          <w:spacing w:val="-4"/>
          <w:sz w:val="32"/>
          <w:szCs w:val="32"/>
        </w:rPr>
        <w:t>年中心开支会议费2.</w:t>
      </w:r>
      <w:r>
        <w:rPr>
          <w:rFonts w:hint="eastAsia" w:ascii="仿宋_GB2312" w:hAnsi="仿宋_GB2312" w:eastAsia="仿宋_GB2312" w:cs="仿宋_GB2312"/>
          <w:spacing w:val="-4"/>
          <w:sz w:val="32"/>
          <w:szCs w:val="32"/>
          <w:lang w:val="en-US" w:eastAsia="zh-CN"/>
        </w:rPr>
        <w:t>26</w:t>
      </w:r>
      <w:r>
        <w:rPr>
          <w:rFonts w:hint="eastAsia" w:ascii="仿宋_GB2312" w:hAnsi="仿宋_GB2312" w:eastAsia="仿宋_GB2312" w:cs="仿宋_GB2312"/>
          <w:spacing w:val="-4"/>
          <w:sz w:val="32"/>
          <w:szCs w:val="32"/>
        </w:rPr>
        <w:t>万元，主要用于</w:t>
      </w:r>
      <w:r>
        <w:rPr>
          <w:rFonts w:eastAsia="仿宋_GB2312"/>
          <w:sz w:val="32"/>
          <w:szCs w:val="32"/>
        </w:rPr>
        <w:t>举办“数字化创新与可持续发展”国际论坛、“庆祝建党100周年，外国专家寄语中国”优秀视频作品评选、在湘外国专家中华文化参观体验活动、潇湘外国专家志愿服务等具有国际化元素的系列特色品牌活动，促进以外国专家为主的国际化人才了解湖南、融入湖南，进一步提升其服务湖南经济社会和科技创新的便捷度和效能性，同时，也促进省内创新创业者立足湖南、走出湖南，开阔国际视野、涵养先进理念，进一步提升其创新创业能力，助力我省“双创”人才培养，壮大我省“双创”人才队伍</w:t>
      </w:r>
      <w:r>
        <w:rPr>
          <w:rFonts w:hint="eastAsia" w:eastAsia="仿宋_GB2312"/>
          <w:sz w:val="32"/>
          <w:szCs w:val="32"/>
          <w:lang w:eastAsia="zh-CN"/>
        </w:rPr>
        <w:t>；</w:t>
      </w:r>
      <w:r>
        <w:rPr>
          <w:rFonts w:hint="eastAsia" w:eastAsia="仿宋_GB2312"/>
          <w:sz w:val="32"/>
          <w:szCs w:val="32"/>
        </w:rPr>
        <w:t>组织举办</w:t>
      </w:r>
      <w:r>
        <w:rPr>
          <w:rFonts w:eastAsia="仿宋_GB2312"/>
          <w:sz w:val="32"/>
          <w:szCs w:val="32"/>
        </w:rPr>
        <w:t>湖南省国际化人才“双促双升”中外科技专家交流会</w:t>
      </w:r>
      <w:r>
        <w:rPr>
          <w:rFonts w:hint="eastAsia" w:eastAsia="仿宋_GB2312"/>
          <w:sz w:val="32"/>
          <w:szCs w:val="32"/>
        </w:rPr>
        <w:t>，邀请中外专家共同探讨全球疫情下的科技创新创业机遇与挑战，为新形势下科技创新创业工作探索可行路径与前进方向。</w:t>
      </w:r>
    </w:p>
    <w:p>
      <w:pPr>
        <w:spacing w:line="560" w:lineRule="exact"/>
        <w:ind w:firstLine="624" w:firstLineChars="200"/>
        <w:jc w:val="left"/>
        <w:rPr>
          <w:rFonts w:eastAsia="仿宋_GB2312"/>
          <w:sz w:val="32"/>
          <w:szCs w:val="32"/>
        </w:rPr>
      </w:pPr>
      <w:r>
        <w:rPr>
          <w:rFonts w:hint="eastAsia" w:ascii="仿宋_GB2312" w:hAnsi="仿宋_GB2312" w:eastAsia="仿宋_GB2312" w:cs="仿宋_GB2312"/>
          <w:spacing w:val="-4"/>
          <w:sz w:val="32"/>
          <w:szCs w:val="32"/>
        </w:rPr>
        <w:t>开支培训费</w:t>
      </w:r>
      <w:r>
        <w:rPr>
          <w:rFonts w:hint="eastAsia" w:ascii="仿宋_GB2312" w:hAnsi="仿宋_GB2312" w:eastAsia="仿宋_GB2312" w:cs="仿宋_GB2312"/>
          <w:spacing w:val="-4"/>
          <w:sz w:val="32"/>
          <w:szCs w:val="32"/>
          <w:lang w:val="en-US" w:eastAsia="zh-CN"/>
        </w:rPr>
        <w:t>0.37</w:t>
      </w:r>
      <w:r>
        <w:rPr>
          <w:rFonts w:hint="eastAsia" w:ascii="仿宋_GB2312" w:hAnsi="仿宋_GB2312" w:eastAsia="仿宋_GB2312" w:cs="仿宋_GB2312"/>
          <w:spacing w:val="-4"/>
          <w:sz w:val="32"/>
          <w:szCs w:val="32"/>
        </w:rPr>
        <w:t>万元，主要用于</w:t>
      </w:r>
      <w:r>
        <w:rPr>
          <w:rFonts w:eastAsia="仿宋_GB2312"/>
          <w:sz w:val="32"/>
          <w:szCs w:val="32"/>
        </w:rPr>
        <w:t>举办湖南省科技厅科技对外开放合作及人才工作培训会议，组织各市州科技局、国家高新区、自贸区、有关高校及国合基地等全省科技外事口负责人开展专题培训，切实提升全省外专服务、引才育才、开放合作工作能力和服务水平。</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十一、关于政府采购支出说明</w:t>
      </w:r>
    </w:p>
    <w:p>
      <w:pPr>
        <w:pStyle w:val="12"/>
        <w:keepNext w:val="0"/>
        <w:keepLines w:val="0"/>
        <w:pageBreakBefore w:val="0"/>
        <w:kinsoku/>
        <w:wordWrap/>
        <w:overflowPunct/>
        <w:topLinePunct w:val="0"/>
        <w:bidi w:val="0"/>
        <w:snapToGrid/>
        <w:ind w:firstLine="640" w:firstLineChars="200"/>
        <w:jc w:val="both"/>
        <w:textAlignment w:val="auto"/>
        <w:rPr>
          <w:rFonts w:hint="eastAsia" w:asciiTheme="minorEastAsia" w:hAnsiTheme="minorEastAsia" w:eastAsiaTheme="minorEastAsia"/>
          <w:sz w:val="32"/>
          <w:szCs w:val="32"/>
          <w:lang w:val="en-US" w:eastAsia="zh-CN"/>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2021年度政府采购支出总额</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0.51</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，占政府采购支出总额的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2"/>
        <w:keepNext w:val="0"/>
        <w:keepLines w:val="0"/>
        <w:pageBreakBefore w:val="0"/>
        <w:widowControl w:val="0"/>
        <w:kinsoku/>
        <w:wordWrap/>
        <w:overflowPunct/>
        <w:topLinePunct w:val="0"/>
        <w:bidi w:val="0"/>
        <w:snapToGrid/>
        <w:spacing w:line="560" w:lineRule="exact"/>
        <w:ind w:firstLine="640" w:firstLineChars="200"/>
        <w:textAlignment w:val="auto"/>
        <w:rPr>
          <w:rFonts w:hint="eastAsia" w:ascii="黑体" w:hAnsi="黑体" w:eastAsia="黑体" w:cs="黑体"/>
          <w:color w:val="auto"/>
          <w:kern w:val="0"/>
          <w:sz w:val="32"/>
          <w:szCs w:val="32"/>
          <w:lang w:val="en-US" w:eastAsia="zh-CN" w:bidi="ar"/>
        </w:rPr>
      </w:pPr>
      <w:r>
        <w:rPr>
          <w:rFonts w:hint="eastAsia" w:ascii="黑体" w:hAnsi="黑体" w:eastAsia="黑体" w:cs="黑体"/>
          <w:color w:val="auto"/>
          <w:kern w:val="0"/>
          <w:sz w:val="32"/>
          <w:szCs w:val="32"/>
          <w:lang w:val="en-US" w:eastAsia="zh-CN" w:bidi="ar"/>
        </w:rPr>
        <w:t>十二、关于国有资产占用情况说明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截至202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年12月31日，省</w:t>
      </w:r>
      <w:r>
        <w:rPr>
          <w:rFonts w:hint="eastAsia" w:ascii="仿宋_GB2312" w:hAnsi="仿宋_GB2312" w:eastAsia="仿宋_GB2312" w:cs="仿宋_GB2312"/>
          <w:sz w:val="32"/>
          <w:szCs w:val="32"/>
          <w:lang w:eastAsia="zh-CN"/>
        </w:rPr>
        <w:t>对外科技交流中心</w:t>
      </w:r>
      <w:r>
        <w:rPr>
          <w:rFonts w:hint="eastAsia" w:ascii="仿宋_GB2312" w:hAnsi="仿宋_GB2312" w:eastAsia="仿宋_GB2312" w:cs="仿宋_GB2312"/>
          <w:sz w:val="32"/>
          <w:szCs w:val="32"/>
        </w:rPr>
        <w:t>共有车辆</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辆；单位价值50万元以上通用设备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台（套）；单位价值100万元以上专用设备</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台（套）。</w:t>
      </w:r>
    </w:p>
    <w:p>
      <w:pPr>
        <w:pStyle w:val="12"/>
        <w:keepNext w:val="0"/>
        <w:keepLines w:val="0"/>
        <w:pageBreakBefore w:val="0"/>
        <w:widowControl w:val="0"/>
        <w:kinsoku/>
        <w:wordWrap/>
        <w:overflowPunct/>
        <w:topLinePunct w:val="0"/>
        <w:bidi w:val="0"/>
        <w:snapToGrid/>
        <w:spacing w:line="560" w:lineRule="exact"/>
        <w:jc w:val="both"/>
        <w:textAlignment w:val="auto"/>
        <w:rPr>
          <w:rFonts w:hint="default" w:ascii="黑体" w:hAnsi="黑体" w:eastAsia="黑体" w:cs="黑体"/>
          <w:color w:val="auto"/>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SA"/>
        </w:rPr>
        <w:t xml:space="preserve"> </w:t>
      </w:r>
      <w:r>
        <w:rPr>
          <w:rFonts w:hint="eastAsia" w:ascii="黑体" w:hAnsi="黑体" w:eastAsia="黑体" w:cs="黑体"/>
          <w:color w:val="auto"/>
          <w:kern w:val="0"/>
          <w:sz w:val="32"/>
          <w:szCs w:val="32"/>
          <w:lang w:val="en-US" w:eastAsia="zh-CN" w:bidi="ar"/>
        </w:rPr>
        <w:t xml:space="preserve">   十三、2021年度预算绩效情况说明</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（1）绩效管理评价工作开展情况</w:t>
      </w:r>
      <w:r>
        <w:rPr>
          <w:rFonts w:hint="eastAsia" w:cs="黑体" w:asciiTheme="minorEastAsia" w:hAnsiTheme="minorEastAsia"/>
          <w:color w:val="000000"/>
          <w:kern w:val="0"/>
          <w:sz w:val="32"/>
          <w:szCs w:val="32"/>
        </w:rPr>
        <w:t>。</w:t>
      </w:r>
    </w:p>
    <w:p>
      <w:pPr>
        <w:autoSpaceDE w:val="0"/>
        <w:autoSpaceDN w:val="0"/>
        <w:adjustRightInd w:val="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本单位按照省财政厅要求，及时申报部门整体支出绩效目标、项目支出绩效目标，按时按质开展部门整体支出绩效自评工作，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w:t>
      </w:r>
    </w:p>
    <w:p>
      <w:pPr>
        <w:autoSpaceDE w:val="0"/>
        <w:autoSpaceDN w:val="0"/>
        <w:adjustRightInd w:val="0"/>
        <w:ind w:firstLine="643" w:firstLineChars="200"/>
        <w:jc w:val="left"/>
        <w:rPr>
          <w:rFonts w:cs="黑体" w:asciiTheme="minorEastAsia" w:hAnsiTheme="minorEastAsia"/>
          <w:b/>
          <w:color w:val="000000"/>
          <w:kern w:val="0"/>
          <w:sz w:val="32"/>
          <w:szCs w:val="32"/>
        </w:rPr>
      </w:pPr>
      <w:r>
        <w:rPr>
          <w:rFonts w:hint="eastAsia" w:cs="黑体" w:asciiTheme="minorEastAsia" w:hAnsiTheme="minorEastAsia"/>
          <w:b/>
          <w:color w:val="000000"/>
          <w:kern w:val="0"/>
          <w:sz w:val="32"/>
          <w:szCs w:val="32"/>
        </w:rPr>
        <w:t>（2）部门决算中项目绩效自评结果（如有）。</w:t>
      </w:r>
    </w:p>
    <w:p>
      <w:pPr>
        <w:autoSpaceDE w:val="0"/>
        <w:autoSpaceDN w:val="0"/>
        <w:adjustRightInd w:val="0"/>
        <w:ind w:firstLine="640" w:firstLineChars="200"/>
        <w:jc w:val="left"/>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无部门决算中项目绩效自评结果。</w:t>
      </w:r>
    </w:p>
    <w:p>
      <w:pPr>
        <w:autoSpaceDE w:val="0"/>
        <w:autoSpaceDN w:val="0"/>
        <w:adjustRightInd w:val="0"/>
        <w:ind w:firstLine="643" w:firstLineChars="200"/>
        <w:jc w:val="left"/>
        <w:rPr>
          <w:rFonts w:cs="黑体" w:asciiTheme="minorEastAsia" w:hAnsiTheme="minorEastAsia"/>
          <w:color w:val="000000"/>
          <w:kern w:val="0"/>
          <w:sz w:val="32"/>
          <w:szCs w:val="32"/>
        </w:rPr>
      </w:pPr>
      <w:r>
        <w:rPr>
          <w:rFonts w:hint="eastAsia" w:cs="黑体" w:asciiTheme="minorEastAsia" w:hAnsiTheme="minorEastAsia"/>
          <w:b/>
          <w:color w:val="000000"/>
          <w:kern w:val="0"/>
          <w:sz w:val="32"/>
          <w:szCs w:val="32"/>
        </w:rPr>
        <w:t>（</w:t>
      </w:r>
      <w:r>
        <w:rPr>
          <w:rFonts w:cs="黑体" w:asciiTheme="minorEastAsia" w:hAnsiTheme="minorEastAsia"/>
          <w:b/>
          <w:color w:val="000000"/>
          <w:kern w:val="0"/>
          <w:sz w:val="32"/>
          <w:szCs w:val="32"/>
        </w:rPr>
        <w:t>3</w:t>
      </w:r>
      <w:r>
        <w:rPr>
          <w:rFonts w:hint="eastAsia" w:cs="黑体" w:asciiTheme="minorEastAsia" w:hAnsiTheme="minorEastAsia"/>
          <w:b/>
          <w:color w:val="000000"/>
          <w:kern w:val="0"/>
          <w:sz w:val="32"/>
          <w:szCs w:val="32"/>
        </w:rPr>
        <w:t>）部门评价项目绩效评价结果。</w:t>
      </w:r>
    </w:p>
    <w:p>
      <w:pPr>
        <w:pStyle w:val="12"/>
        <w:keepNext w:val="0"/>
        <w:keepLines w:val="0"/>
        <w:pageBreakBefore w:val="0"/>
        <w:widowControl w:val="0"/>
        <w:kinsoku/>
        <w:wordWrap/>
        <w:overflowPunct/>
        <w:topLinePunct w:val="0"/>
        <w:bidi w:val="0"/>
        <w:snapToGrid/>
        <w:spacing w:line="560" w:lineRule="exact"/>
        <w:ind w:firstLine="640" w:firstLineChars="200"/>
        <w:jc w:val="both"/>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2021年度我中心整体支出绩效自评综合得分为 98分，评价等级为“优”。</w:t>
      </w: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both"/>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both"/>
        <w:textAlignment w:val="auto"/>
        <w:rPr>
          <w:sz w:val="72"/>
          <w:szCs w:val="72"/>
        </w:rPr>
      </w:pP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一、财政拨款收入指财政当年拨付的资金。</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二、事业收入指事业单位开展专业业务活动及辅助活动所取得的收入。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三、经营收入指事业单位在专业业务活动及其辅助活动之外开展非独立核算经营活动取得的收入。</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四、其他收入指除上述“财政拨款收入”，“事业收入”、“经营收入”等以外的收入。主要是利息收入等。</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六、年初结转和结余指以前年度尚未完成、结转到本年按有关规定继续使用的资金。</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七、结余分配指事业单位按规定提取的职工福利基金、事业基金和缴纳的所得税。</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八、年末结转和结余指本年度或以前年度预算安排、因客观条件发生变化无法按原计划实施，需延迟到以后年度按有关规定继续使用的资金。</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九、基本支出指为保障机构正常运转、完成日常工作任务而发生的人员支出和公用支出。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十、项目支出指在基本支出之外为完成特定行政任务和事业发展目标所发生的支出。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十一、经营支出指事业单位在专业业务活动及其辅助活动之外开展非独立核算经营活动发生的支出。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二、“三公”经费：纳入财政预决算管理的“三公”经费，是指用财政拨款安排的因公出国(境)费、公务用车购置及运行费和公务接待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pPr>
        <w:keepNext w:val="0"/>
        <w:keepLines w:val="0"/>
        <w:pageBreakBefore w:val="0"/>
        <w:widowControl w:val="0"/>
        <w:shd w:val="clear" w:color="auto" w:fill="FFFFFF"/>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12"/>
        <w:keepNext w:val="0"/>
        <w:keepLines w:val="0"/>
        <w:pageBreakBefore w:val="0"/>
        <w:widowControl w:val="0"/>
        <w:kinsoku/>
        <w:wordWrap/>
        <w:overflowPunct/>
        <w:topLinePunct w:val="0"/>
        <w:bidi w:val="0"/>
        <w:snapToGrid/>
        <w:spacing w:line="560" w:lineRule="exact"/>
        <w:jc w:val="center"/>
        <w:textAlignment w:val="auto"/>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center"/>
        <w:rPr>
          <w:sz w:val="72"/>
          <w:szCs w:val="72"/>
        </w:rPr>
      </w:pPr>
    </w:p>
    <w:p>
      <w:pPr>
        <w:pStyle w:val="12"/>
        <w:jc w:val="both"/>
        <w:rPr>
          <w:rFonts w:hint="eastAsia"/>
          <w:sz w:val="72"/>
          <w:szCs w:val="72"/>
        </w:rPr>
      </w:pPr>
    </w:p>
    <w:sectPr>
      <w:pgSz w:w="11906" w:h="16838"/>
      <w:pgMar w:top="1803" w:right="1440" w:bottom="1803" w:left="1440" w:header="851" w:footer="992" w:gutter="0"/>
      <w:cols w:space="0" w:num="1"/>
      <w:rtlGutter w:val="0"/>
      <w:docGrid w:type="lines" w:linePitch="32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7AF2CC"/>
    <w:multiLevelType w:val="singleLevel"/>
    <w:tmpl w:val="0B7AF2CC"/>
    <w:lvl w:ilvl="0" w:tentative="0">
      <w:start w:val="3"/>
      <w:numFmt w:val="decimal"/>
      <w:suff w:val="nothing"/>
      <w:lvlText w:val="%1、"/>
      <w:lvlJc w:val="left"/>
    </w:lvl>
  </w:abstractNum>
  <w:abstractNum w:abstractNumId="1">
    <w:nsid w:val="28A234ED"/>
    <w:multiLevelType w:val="singleLevel"/>
    <w:tmpl w:val="28A234ED"/>
    <w:lvl w:ilvl="0" w:tentative="0">
      <w:start w:val="10"/>
      <w:numFmt w:val="chineseCounting"/>
      <w:suff w:val="nothing"/>
      <w:lvlText w:val="%1、"/>
      <w:lvlJc w:val="left"/>
      <w:rPr>
        <w:rFonts w:hint="eastAsia"/>
      </w:rPr>
    </w:lvl>
  </w:abstractNum>
  <w:abstractNum w:abstractNumId="2">
    <w:nsid w:val="737056D3"/>
    <w:multiLevelType w:val="singleLevel"/>
    <w:tmpl w:val="737056D3"/>
    <w:lvl w:ilvl="0" w:tentative="0">
      <w:start w:val="7"/>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210"/>
  <w:drawingGridVerticalSpacing w:val="161"/>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yZWE0ZWNlM2E2YTI2MzQ0NzU0OWEzOTIyNjQwYzYifQ=="/>
  </w:docVars>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7E6"/>
    <w:rsid w:val="003C4FC2"/>
    <w:rsid w:val="00416E61"/>
    <w:rsid w:val="0042790C"/>
    <w:rsid w:val="004506F9"/>
    <w:rsid w:val="004717A2"/>
    <w:rsid w:val="00473DF3"/>
    <w:rsid w:val="00487911"/>
    <w:rsid w:val="00491741"/>
    <w:rsid w:val="004B1C77"/>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0FF5CD6"/>
    <w:rsid w:val="08471D6C"/>
    <w:rsid w:val="0CC83076"/>
    <w:rsid w:val="0CD648C8"/>
    <w:rsid w:val="118B4138"/>
    <w:rsid w:val="158B274D"/>
    <w:rsid w:val="20A216F9"/>
    <w:rsid w:val="267FDBAD"/>
    <w:rsid w:val="28C13F1A"/>
    <w:rsid w:val="2B0851E6"/>
    <w:rsid w:val="3213380C"/>
    <w:rsid w:val="35FFC3D9"/>
    <w:rsid w:val="365E8809"/>
    <w:rsid w:val="37FB75E9"/>
    <w:rsid w:val="39335095"/>
    <w:rsid w:val="3A7F59DD"/>
    <w:rsid w:val="3BEEA524"/>
    <w:rsid w:val="3BF77E1E"/>
    <w:rsid w:val="3BFDFBF8"/>
    <w:rsid w:val="3C3500BE"/>
    <w:rsid w:val="3D5D32F1"/>
    <w:rsid w:val="469D5975"/>
    <w:rsid w:val="47252BAC"/>
    <w:rsid w:val="472D2F73"/>
    <w:rsid w:val="4BE91B04"/>
    <w:rsid w:val="4C2B077F"/>
    <w:rsid w:val="4F1836F1"/>
    <w:rsid w:val="51BBF43D"/>
    <w:rsid w:val="520C4E5D"/>
    <w:rsid w:val="56353193"/>
    <w:rsid w:val="56E077AC"/>
    <w:rsid w:val="592844CA"/>
    <w:rsid w:val="5D77798F"/>
    <w:rsid w:val="5DD15DE6"/>
    <w:rsid w:val="5FB97873"/>
    <w:rsid w:val="68007D6F"/>
    <w:rsid w:val="6B776D8D"/>
    <w:rsid w:val="6B9F2679"/>
    <w:rsid w:val="6BD53A97"/>
    <w:rsid w:val="6F7E75FF"/>
    <w:rsid w:val="6FFE6365"/>
    <w:rsid w:val="73CB5FFF"/>
    <w:rsid w:val="74151BF5"/>
    <w:rsid w:val="75E726F3"/>
    <w:rsid w:val="782A6A4E"/>
    <w:rsid w:val="782A7918"/>
    <w:rsid w:val="7A1B672D"/>
    <w:rsid w:val="7BCF1B31"/>
    <w:rsid w:val="7BEADC91"/>
    <w:rsid w:val="7CA9621A"/>
    <w:rsid w:val="7CEAE34A"/>
    <w:rsid w:val="7EBEFC33"/>
    <w:rsid w:val="7EF92AAB"/>
    <w:rsid w:val="7FAF3222"/>
    <w:rsid w:val="7FB94574"/>
    <w:rsid w:val="7FEEB55C"/>
    <w:rsid w:val="7FF7A8A3"/>
    <w:rsid w:val="BCBA4551"/>
    <w:rsid w:val="CFF51B6D"/>
    <w:rsid w:val="DDFE6BAE"/>
    <w:rsid w:val="E3BD47AF"/>
    <w:rsid w:val="EB3EB73F"/>
    <w:rsid w:val="EFB7828B"/>
    <w:rsid w:val="EFBB63D0"/>
    <w:rsid w:val="F19796F6"/>
    <w:rsid w:val="F6B35B2D"/>
    <w:rsid w:val="F9DD09E3"/>
    <w:rsid w:val="FBF5C627"/>
    <w:rsid w:val="FDAE7B37"/>
    <w:rsid w:val="FEF55D35"/>
    <w:rsid w:val="FFA77405"/>
    <w:rsid w:val="FFEF7B8E"/>
    <w:rsid w:val="FFFB45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9">
    <w:name w:val="Emphasis"/>
    <w:basedOn w:val="8"/>
    <w:qFormat/>
    <w:uiPriority w:val="20"/>
    <w:rPr>
      <w:i/>
    </w:rPr>
  </w:style>
  <w:style w:type="character" w:customStyle="1" w:styleId="10">
    <w:name w:val="页眉 Char"/>
    <w:basedOn w:val="8"/>
    <w:link w:val="4"/>
    <w:qFormat/>
    <w:uiPriority w:val="99"/>
    <w:rPr>
      <w:sz w:val="18"/>
      <w:szCs w:val="18"/>
    </w:rPr>
  </w:style>
  <w:style w:type="character" w:customStyle="1" w:styleId="11">
    <w:name w:val="页脚 Char"/>
    <w:basedOn w:val="8"/>
    <w:link w:val="3"/>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8"/>
    <w:link w:val="2"/>
    <w:semiHidden/>
    <w:qFormat/>
    <w:uiPriority w:val="99"/>
    <w:rPr>
      <w:sz w:val="18"/>
      <w:szCs w:val="18"/>
    </w:rPr>
  </w:style>
  <w:style w:type="character" w:customStyle="1" w:styleId="15">
    <w:name w:val="font31"/>
    <w:basedOn w:val="8"/>
    <w:qFormat/>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27</Pages>
  <Words>7960</Words>
  <Characters>10644</Characters>
  <Lines>61</Lines>
  <Paragraphs>17</Paragraphs>
  <TotalTime>4</TotalTime>
  <ScaleCrop>false</ScaleCrop>
  <LinksUpToDate>false</LinksUpToDate>
  <CharactersWithSpaces>11921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2020-07-03T18:32:00Z</dcterms:created>
  <dc:creator>李航 null</dc:creator>
  <cp:lastModifiedBy>包子麻麻</cp:lastModifiedBy>
  <cp:lastPrinted>2021-08-27T23:30:00Z</cp:lastPrinted>
  <dcterms:modified xsi:type="dcterms:W3CDTF">2023-09-26T02:12:34Z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8FC329375C0D44BB880DEC36F9CCBED9_13</vt:lpwstr>
  </property>
</Properties>
</file>